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center"/>
        <w:rPr>
          <w:rFonts w:hAnsi="仿宋_GB2312" w:cs="仿宋_GB2312"/>
          <w:b/>
          <w:bCs/>
          <w:szCs w:val="28"/>
        </w:rPr>
      </w:pPr>
    </w:p>
    <w:p>
      <w:pPr>
        <w:ind w:firstLine="0" w:firstLineChars="0"/>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宁武县汾河河道治理项目</w:t>
      </w:r>
    </w:p>
    <w:p>
      <w:pPr>
        <w:ind w:firstLine="0" w:firstLineChars="0"/>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资金绩效评价报告</w:t>
      </w:r>
    </w:p>
    <w:p>
      <w:pPr>
        <w:ind w:firstLine="562"/>
        <w:rPr>
          <w:rFonts w:hAnsi="仿宋_GB2312" w:cs="仿宋_GB2312"/>
          <w:b/>
          <w:bCs/>
          <w:szCs w:val="28"/>
        </w:rPr>
      </w:pPr>
    </w:p>
    <w:p>
      <w:pPr>
        <w:ind w:firstLine="562"/>
        <w:jc w:val="center"/>
        <w:rPr>
          <w:rFonts w:hAnsi="仿宋_GB2312" w:cs="仿宋_GB2312"/>
          <w:b/>
          <w:bCs/>
          <w:szCs w:val="28"/>
        </w:rPr>
      </w:pPr>
    </w:p>
    <w:p>
      <w:pPr>
        <w:ind w:firstLine="562"/>
        <w:jc w:val="center"/>
        <w:rPr>
          <w:rFonts w:hAnsi="仿宋_GB2312" w:cs="仿宋_GB2312"/>
          <w:b/>
          <w:bCs/>
          <w:szCs w:val="28"/>
        </w:rPr>
      </w:pPr>
    </w:p>
    <w:p>
      <w:pPr>
        <w:pStyle w:val="2"/>
        <w:ind w:firstLine="560"/>
      </w:pPr>
    </w:p>
    <w:p>
      <w:pPr>
        <w:ind w:firstLine="562"/>
        <w:jc w:val="center"/>
        <w:rPr>
          <w:rFonts w:hAnsi="仿宋_GB2312" w:cs="仿宋_GB2312"/>
          <w:b/>
          <w:bCs/>
          <w:szCs w:val="28"/>
        </w:rPr>
      </w:pPr>
    </w:p>
    <w:p>
      <w:pPr>
        <w:autoSpaceDE w:val="0"/>
        <w:autoSpaceDN w:val="0"/>
        <w:adjustRightInd w:val="0"/>
        <w:ind w:firstLine="0" w:firstLineChars="0"/>
        <w:rPr>
          <w:rFonts w:asciiTheme="minorEastAsia" w:hAnsiTheme="minorEastAsia" w:cstheme="minorEastAsia"/>
          <w:b/>
          <w:kern w:val="0"/>
          <w:szCs w:val="28"/>
        </w:rPr>
      </w:pPr>
    </w:p>
    <w:p>
      <w:pPr>
        <w:pStyle w:val="2"/>
        <w:ind w:firstLine="560"/>
      </w:pPr>
    </w:p>
    <w:p>
      <w:pPr>
        <w:pStyle w:val="2"/>
        <w:ind w:firstLine="560"/>
      </w:pPr>
    </w:p>
    <w:p>
      <w:pPr>
        <w:autoSpaceDE w:val="0"/>
        <w:autoSpaceDN w:val="0"/>
        <w:adjustRightInd w:val="0"/>
        <w:ind w:firstLine="640"/>
        <w:rPr>
          <w:rFonts w:ascii="黑体" w:hAnsi="黑体" w:eastAsia="黑体" w:cstheme="minorEastAsia"/>
          <w:kern w:val="0"/>
          <w:sz w:val="32"/>
          <w:szCs w:val="32"/>
        </w:rPr>
      </w:pPr>
    </w:p>
    <w:p>
      <w:pPr>
        <w:pStyle w:val="2"/>
        <w:ind w:left="0" w:leftChars="0" w:firstLine="0" w:firstLineChars="0"/>
        <w:rPr>
          <w:rFonts w:ascii="黑体" w:hAnsi="黑体" w:eastAsia="黑体" w:cstheme="minorEastAsia"/>
          <w:kern w:val="0"/>
          <w:sz w:val="32"/>
          <w:szCs w:val="32"/>
        </w:rPr>
      </w:pP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部门名称：宁武县汾河治理事务中心</w:t>
      </w: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委托单位：宁武县财政局</w:t>
      </w:r>
    </w:p>
    <w:p>
      <w:pPr>
        <w:autoSpaceDE w:val="0"/>
        <w:autoSpaceDN w:val="0"/>
        <w:adjustRightInd w:val="0"/>
        <w:ind w:firstLine="640"/>
        <w:rPr>
          <w:rFonts w:ascii="黑体" w:hAnsi="黑体" w:eastAsia="黑体" w:cstheme="minorEastAsia"/>
          <w:kern w:val="0"/>
          <w:sz w:val="32"/>
          <w:szCs w:val="32"/>
        </w:rPr>
      </w:pPr>
      <w:r>
        <w:rPr>
          <w:rFonts w:hint="eastAsia" w:ascii="黑体" w:hAnsi="黑体" w:eastAsia="黑体" w:cstheme="minorEastAsia"/>
          <w:kern w:val="0"/>
          <w:sz w:val="32"/>
          <w:szCs w:val="32"/>
        </w:rPr>
        <w:t>评价机构：</w:t>
      </w:r>
      <w:r>
        <w:rPr>
          <w:rFonts w:hint="eastAsia" w:ascii="黑体" w:hAnsi="黑体" w:eastAsia="黑体" w:cstheme="minorEastAsia"/>
          <w:sz w:val="32"/>
          <w:szCs w:val="32"/>
        </w:rPr>
        <w:t>山西亚泰会计师事务所有限公司</w:t>
      </w:r>
    </w:p>
    <w:p>
      <w:pPr>
        <w:pStyle w:val="2"/>
        <w:spacing w:before="0"/>
        <w:ind w:firstLine="560"/>
        <w:rPr>
          <w:rFonts w:ascii="黑体" w:hAnsi="黑体" w:eastAsia="黑体" w:cstheme="minorEastAsia"/>
          <w:kern w:val="0"/>
          <w:szCs w:val="28"/>
        </w:rPr>
      </w:pPr>
    </w:p>
    <w:p>
      <w:pPr>
        <w:pStyle w:val="2"/>
        <w:spacing w:before="0"/>
        <w:ind w:firstLine="0" w:firstLineChars="0"/>
        <w:jc w:val="center"/>
        <w:rPr>
          <w:rFonts w:hint="eastAsia" w:ascii="黑体" w:hAnsi="黑体" w:eastAsia="黑体" w:cs="仿宋_GB2312"/>
          <w:sz w:val="32"/>
          <w:szCs w:val="32"/>
        </w:rPr>
      </w:pPr>
      <w:r>
        <w:rPr>
          <w:rFonts w:hint="eastAsia" w:ascii="黑体" w:hAnsi="黑体" w:eastAsia="黑体" w:cstheme="minorEastAsia"/>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宋体"/>
          <w:sz w:val="32"/>
          <w:szCs w:val="32"/>
        </w:rPr>
        <w:t>一</w:t>
      </w:r>
      <w:r>
        <w:rPr>
          <w:rFonts w:hint="eastAsia" w:ascii="黑体" w:hAnsi="黑体" w:eastAsia="黑体" w:cs="仿宋_GB2312"/>
          <w:sz w:val="32"/>
          <w:szCs w:val="32"/>
        </w:rPr>
        <w:t>年十月</w:t>
      </w:r>
    </w:p>
    <w:p>
      <w:pPr>
        <w:pStyle w:val="2"/>
        <w:spacing w:before="0"/>
        <w:ind w:firstLine="0" w:firstLineChars="0"/>
        <w:jc w:val="center"/>
        <w:rPr>
          <w:rFonts w:hint="eastAsia" w:ascii="黑体" w:hAnsi="黑体" w:eastAsia="黑体" w:cs="仿宋_GB2312"/>
          <w:sz w:val="32"/>
          <w:szCs w:val="32"/>
        </w:rPr>
        <w:sectPr>
          <w:headerReference r:id="rId5" w:type="default"/>
          <w:footerReference r:id="rId6" w:type="default"/>
          <w:pgSz w:w="11906" w:h="16838"/>
          <w:pgMar w:top="2041" w:right="1418" w:bottom="1418" w:left="1531" w:header="851" w:footer="851" w:gutter="0"/>
          <w:pgBorders>
            <w:top w:val="none" w:sz="0" w:space="0"/>
            <w:left w:val="none" w:sz="0" w:space="0"/>
            <w:bottom w:val="none" w:sz="0" w:space="0"/>
            <w:right w:val="none" w:sz="0" w:space="0"/>
          </w:pgBorders>
          <w:cols w:space="425" w:num="1"/>
          <w:docGrid w:type="lines" w:linePitch="381" w:charSpace="0"/>
        </w:sectPr>
      </w:pPr>
    </w:p>
    <w:p>
      <w:pPr>
        <w:ind w:firstLine="0" w:firstLineChars="0"/>
        <w:jc w:val="center"/>
        <w:rPr>
          <w:rFonts w:ascii="方正小标宋简体" w:hAnsi="仿宋_GB2312" w:eastAsia="方正小标宋简体" w:cs="仿宋_GB2312"/>
          <w:bCs/>
          <w:sz w:val="36"/>
          <w:szCs w:val="36"/>
        </w:rPr>
      </w:pPr>
      <w:r>
        <w:rPr>
          <w:rFonts w:hint="eastAsia" w:ascii="方正小标宋简体" w:hAnsi="仿宋_GB2312" w:eastAsia="方正小标宋简体" w:cs="仿宋_GB2312"/>
          <w:bCs/>
          <w:sz w:val="36"/>
          <w:szCs w:val="36"/>
        </w:rPr>
        <w:t>宁武县汾河河道治理项目</w:t>
      </w:r>
    </w:p>
    <w:p>
      <w:pPr>
        <w:ind w:firstLine="0" w:firstLineChars="0"/>
        <w:jc w:val="center"/>
        <w:rPr>
          <w:sz w:val="36"/>
          <w:szCs w:val="36"/>
        </w:rPr>
      </w:pPr>
      <w:r>
        <w:rPr>
          <w:rFonts w:hint="eastAsia" w:ascii="方正小标宋简体" w:hAnsi="仿宋_GB2312" w:eastAsia="方正小标宋简体" w:cs="仿宋_GB2312"/>
          <w:bCs/>
          <w:sz w:val="36"/>
          <w:szCs w:val="36"/>
        </w:rPr>
        <w:t>资金绩效评价报告</w:t>
      </w:r>
    </w:p>
    <w:p>
      <w:pPr>
        <w:ind w:firstLine="560"/>
      </w:pPr>
      <w:r>
        <w:rPr>
          <w:rFonts w:hint="eastAsia"/>
        </w:rPr>
        <w:t>根据《中华人民共和国预算法》规定，按照《中共山西省委 山西省人民政府关于全面实施预算绩效管理的实施意见》 （晋发〔2018〕39号）、山西省财政厅《省级项目支出绩效评价管理办法》（晋财绩〔2020〕17号）的要求，受宁武县财政局委托，山西亚泰会计师事务所有限公司对宁武县汾河河道治理项目开展了绩效评价，现将有关情况报告如下。</w:t>
      </w:r>
    </w:p>
    <w:p>
      <w:pPr>
        <w:pStyle w:val="3"/>
        <w:ind w:firstLine="560"/>
      </w:pPr>
      <w:bookmarkStart w:id="0" w:name="_Toc10188"/>
      <w:bookmarkStart w:id="1" w:name="_Toc27150"/>
      <w:r>
        <w:rPr>
          <w:rFonts w:hint="eastAsia"/>
        </w:rPr>
        <w:t>一、基本情况</w:t>
      </w:r>
      <w:bookmarkEnd w:id="0"/>
      <w:bookmarkEnd w:id="1"/>
    </w:p>
    <w:p>
      <w:pPr>
        <w:pStyle w:val="4"/>
        <w:ind w:firstLine="560"/>
      </w:pPr>
      <w:bookmarkStart w:id="2" w:name="_Toc5948"/>
      <w:bookmarkStart w:id="3" w:name="_Toc24203"/>
      <w:r>
        <w:rPr>
          <w:rFonts w:hint="eastAsia"/>
        </w:rPr>
        <w:t>（一）</w:t>
      </w:r>
      <w:bookmarkEnd w:id="2"/>
      <w:bookmarkEnd w:id="3"/>
      <w:bookmarkStart w:id="4" w:name="_Toc62459999"/>
      <w:bookmarkStart w:id="5" w:name="_Toc62228835"/>
      <w:bookmarkStart w:id="6" w:name="_Toc62460228"/>
      <w:bookmarkStart w:id="7" w:name="_Toc72769073"/>
      <w:bookmarkStart w:id="8" w:name="_Toc62656250"/>
      <w:bookmarkStart w:id="9" w:name="_Toc72708094"/>
      <w:r>
        <w:rPr>
          <w:rFonts w:hint="eastAsia"/>
        </w:rPr>
        <w:t>项目背景</w:t>
      </w:r>
      <w:bookmarkEnd w:id="4"/>
      <w:bookmarkEnd w:id="5"/>
      <w:bookmarkEnd w:id="6"/>
      <w:bookmarkEnd w:id="7"/>
      <w:bookmarkEnd w:id="8"/>
      <w:bookmarkEnd w:id="9"/>
    </w:p>
    <w:p>
      <w:pPr>
        <w:ind w:firstLine="560"/>
      </w:pPr>
      <w:r>
        <w:rPr>
          <w:rFonts w:hint="eastAsia"/>
        </w:rPr>
        <w:t>2015年党中央、国务院印发的《生态文明体制改革总体方案》明确提出“树立山水林田湖是一个生命共同体的理念，统筹考虑自然生态各要素进行整体保护、系统修复、综合治理，增强生态系统循环能力，维护生态平衡”的要求。2016年9月，财政部、原国土资源部、原环境保护部联合印发了《关于推进山水林田湖生态保护修复工作的通知》（财建〔2016〕725 号），进一步明确了山水林田湖生态修复工作的重要性、迫切性。开展山水林田湖草生态保护修复是生态文明建设的重要内容，是贯彻绿色发展理念的有力举措，是破解生态环境难题的必然要求。</w:t>
      </w:r>
    </w:p>
    <w:p>
      <w:pPr>
        <w:ind w:firstLine="560"/>
      </w:pPr>
      <w:r>
        <w:rPr>
          <w:rFonts w:hint="eastAsia"/>
        </w:rPr>
        <w:t>《国务院关于支持山西省进一步深化改革促进资源型经济转型发展的意见》（国发</w:t>
      </w:r>
      <w:r>
        <w:t>〔</w:t>
      </w:r>
      <w:r>
        <w:rPr>
          <w:rFonts w:hint="eastAsia"/>
        </w:rPr>
        <w:t>2017</w:t>
      </w:r>
      <w:r>
        <w:t>〕</w:t>
      </w:r>
      <w:r>
        <w:rPr>
          <w:rFonts w:hint="eastAsia"/>
        </w:rPr>
        <w:t>42</w:t>
      </w:r>
      <w:r>
        <w:t>号</w:t>
      </w:r>
      <w:r>
        <w:rPr>
          <w:rFonts w:hint="eastAsia"/>
        </w:rPr>
        <w:t>）文件提出：“加强资源开发地区生态保护修复治理。加快推进国土综合整治，实施太行山、吕梁山生态保护修复工程，推进山水林田湖生态保护工程试点。”“全面落实河长制，创新河湖管护体制机制，加快推进汾河等流域生态修复和系统治理。”</w:t>
      </w:r>
    </w:p>
    <w:p>
      <w:pPr>
        <w:ind w:firstLine="560"/>
      </w:pPr>
      <w:r>
        <w:rPr>
          <w:rFonts w:hint="eastAsia"/>
        </w:rPr>
        <w:t>加快山水林田湖草生态保护修复，实现格局优化、系统稳定、功能提升，关系生态文明建设和美丽山西建设进程，也关系国家生态安全格局和中华民族永续发展。《山西省财政厅、山西省自然资源厅、山西省环境保护厅关于做好山西省汾河中上游山水林田湖草生态保护修复工程试点工作的通知》（晋财建二〔2018〕189号）文件明确了山西省汾河中上游山水林田湖草生态保护修复工程试点工作开展的要求：成立专项工作领导小组、研究制定专项工作方案、做好项目前期准备工作。</w:t>
      </w:r>
    </w:p>
    <w:p>
      <w:pPr>
        <w:ind w:firstLine="560"/>
      </w:pPr>
      <w:r>
        <w:rPr>
          <w:rFonts w:hint="eastAsia"/>
        </w:rPr>
        <w:t>2019年9月18日，习近平总书记在黄河流域生态保护和高质量发展座谈会上发表重要讲话，强调治理黄河，重在保护，要在治理，要坚持山水林田湖草综合治理、系统治理、源头治理，统筹推进各项工作，加强协同配合，推动黄河流域高质量发展。汾河作为黄河的第二大支流，汾河流域综合治理对黄河大保护具有重要意义。</w:t>
      </w:r>
    </w:p>
    <w:p>
      <w:pPr>
        <w:pStyle w:val="2"/>
        <w:spacing w:before="0"/>
        <w:ind w:firstLine="560"/>
        <w:rPr>
          <w:rFonts w:ascii="仿宋_GB2312" w:eastAsia="仿宋_GB2312" w:hAnsiTheme="minorHAnsi" w:cstheme="minorBidi"/>
          <w:szCs w:val="24"/>
        </w:rPr>
      </w:pPr>
      <w:r>
        <w:rPr>
          <w:rFonts w:hint="eastAsia" w:ascii="仿宋_GB2312" w:eastAsia="仿宋_GB2312" w:hAnsiTheme="minorHAnsi" w:cstheme="minorBidi"/>
          <w:szCs w:val="24"/>
        </w:rPr>
        <w:t>为全面贯彻落实党中央、国务院关于生态文明建设的总体部署和要求，深入贯彻习近平总书记系列重要讲话精神，树立和践行绿水青山就是金山银山的理念，统筹推进山水林田湖草系统治理，山西省组织编制了《山西省山水林田湖草生态保护修复工程试点实施方案》，方案重点围绕“汾河上游生态保护修复区、五台山及周边生态保护修复区、沿黄水土保持及生态保护修复区、太原西山矿区生态保护修复区”四大功能区展开，其中《山西省汾河中上游山水林田湖草生态保护工程试点实施方案》已纳入国家第三批山水林田湖草生态保护修复工程试点，获得中央20亿元的资金支持。</w:t>
      </w:r>
    </w:p>
    <w:p>
      <w:pPr>
        <w:pStyle w:val="2"/>
        <w:spacing w:before="0"/>
        <w:ind w:firstLine="560"/>
        <w:rPr>
          <w:rFonts w:ascii="仿宋_GB2312" w:eastAsia="仿宋_GB2312" w:hAnsiTheme="minorHAnsi" w:cstheme="minorBidi"/>
          <w:szCs w:val="24"/>
        </w:rPr>
      </w:pPr>
      <w:r>
        <w:rPr>
          <w:rFonts w:hint="eastAsia" w:ascii="仿宋_GB2312" w:eastAsia="仿宋_GB2312" w:hAnsiTheme="minorHAnsi" w:cstheme="minorBidi"/>
          <w:szCs w:val="24"/>
        </w:rPr>
        <w:t>《关于印发&lt;忻州市汾河中上游山水林田湖草生态保护工程试点项目管理办法（试行）&gt;的通知》（忻汾试组〔2019〕6号）文件明确了山水林田湖草生态保护工程试点项目从项目前期到监督检查的工作要求。</w:t>
      </w:r>
    </w:p>
    <w:p>
      <w:pPr>
        <w:pStyle w:val="2"/>
        <w:spacing w:before="0"/>
        <w:ind w:firstLine="560"/>
        <w:rPr>
          <w:rFonts w:ascii="仿宋_GB2312" w:eastAsia="仿宋_GB2312" w:hAnsiTheme="minorHAnsi" w:cstheme="minorBidi"/>
          <w:szCs w:val="24"/>
        </w:rPr>
      </w:pPr>
      <w:r>
        <w:rPr>
          <w:rFonts w:hint="eastAsia" w:ascii="仿宋_GB2312" w:eastAsia="仿宋_GB2312" w:hAnsiTheme="minorHAnsi" w:cstheme="minorBidi"/>
          <w:szCs w:val="24"/>
        </w:rPr>
        <w:t>根据相关政策及文件指示，忻州市编制了《忻州市汾河中上游山水林田湖草生态保护工程试点实施方案》，宁武县编制了《宁武县汾河中上游山水林田湖草生态保护工程试点实施方案》（以下简称《方案》），《方案》坚持“修山、治污、增绿、扩湿、整地”并重的原则，“通过整沟治理、整村搬迁、乡村风貌整治”三条途径，立足“生态走廊、经济走廊、文旅走廊、脱贫走廊”四个定位，倾力打造具有宁武特色的山水林田湖草生命共同体。《方案》中确定的工程主要包括宁武县汾河流域重要水源地水源涵养林建设项目、宁武县汾河流域水土流失综合治理项目、宁武县汾河河道治理项目、宁武县汾河沿线湿地治理等20多项。</w:t>
      </w:r>
    </w:p>
    <w:p>
      <w:pPr>
        <w:pStyle w:val="4"/>
        <w:ind w:firstLine="560"/>
        <w:rPr>
          <w:rFonts w:hint="eastAsia"/>
        </w:rPr>
      </w:pPr>
      <w:bookmarkStart w:id="10" w:name="_Toc62656252"/>
      <w:bookmarkStart w:id="11" w:name="_Toc62228837"/>
      <w:bookmarkStart w:id="12" w:name="_Toc62460230"/>
      <w:bookmarkStart w:id="13" w:name="_Toc62460001"/>
      <w:bookmarkStart w:id="14" w:name="_Toc72769075"/>
      <w:bookmarkStart w:id="15" w:name="_Toc72708096"/>
      <w:r>
        <w:rPr>
          <w:rFonts w:hint="eastAsia"/>
          <w:lang w:eastAsia="zh-CN"/>
        </w:rPr>
        <w:t>（</w:t>
      </w:r>
      <w:r>
        <w:rPr>
          <w:rFonts w:hint="eastAsia"/>
          <w:lang w:val="en-US" w:eastAsia="zh-CN"/>
        </w:rPr>
        <w:t>二</w:t>
      </w:r>
      <w:r>
        <w:rPr>
          <w:rFonts w:hint="eastAsia"/>
          <w:lang w:eastAsia="zh-CN"/>
        </w:rPr>
        <w:t>）</w:t>
      </w:r>
      <w:r>
        <w:rPr>
          <w:rFonts w:hint="eastAsia"/>
        </w:rPr>
        <w:t>主要内容</w:t>
      </w:r>
      <w:bookmarkEnd w:id="10"/>
      <w:bookmarkEnd w:id="11"/>
      <w:bookmarkEnd w:id="12"/>
      <w:bookmarkEnd w:id="13"/>
      <w:bookmarkEnd w:id="14"/>
      <w:bookmarkEnd w:id="15"/>
      <w:r>
        <w:rPr>
          <w:rFonts w:hint="eastAsia"/>
        </w:rPr>
        <w:t>及实施情况</w:t>
      </w:r>
    </w:p>
    <w:p>
      <w:pPr>
        <w:ind w:firstLine="560"/>
        <w:rPr>
          <w:b/>
          <w:bCs/>
        </w:rPr>
      </w:pPr>
      <w:r>
        <w:rPr>
          <w:rFonts w:hint="eastAsia"/>
          <w:b/>
          <w:bCs/>
          <w:lang w:val="en-US" w:eastAsia="zh-CN"/>
        </w:rPr>
        <w:t>1.</w:t>
      </w:r>
      <w:r>
        <w:rPr>
          <w:rFonts w:hint="eastAsia"/>
          <w:b/>
          <w:bCs/>
        </w:rPr>
        <w:t>项目实施时间</w:t>
      </w:r>
    </w:p>
    <w:p>
      <w:pPr>
        <w:ind w:firstLine="560"/>
        <w:rPr>
          <w:rFonts w:hAnsi="Times New Roman" w:cs="Times New Roman"/>
          <w:szCs w:val="20"/>
        </w:rPr>
      </w:pPr>
      <w:r>
        <w:rPr>
          <w:rFonts w:hint="eastAsia"/>
          <w:szCs w:val="28"/>
        </w:rPr>
        <w:t>宁武县汾河河道治理项目工期1年</w:t>
      </w:r>
      <w:r>
        <w:rPr>
          <w:rFonts w:hint="eastAsia" w:hAnsi="Times New Roman" w:cs="Times New Roman"/>
          <w:szCs w:val="20"/>
        </w:rPr>
        <w:t>，</w:t>
      </w:r>
      <w:r>
        <w:rPr>
          <w:rFonts w:hint="eastAsia"/>
          <w:szCs w:val="28"/>
        </w:rPr>
        <w:t>计划2020年4-9月份实施汾河干流各项主要工程，7-9月实施各个支流治理工程及流域数字化平台的建设</w:t>
      </w:r>
      <w:r>
        <w:rPr>
          <w:rFonts w:hint="eastAsia" w:hAnsi="Times New Roman" w:cs="Times New Roman"/>
          <w:szCs w:val="20"/>
        </w:rPr>
        <w:t>，</w:t>
      </w:r>
      <w:r>
        <w:rPr>
          <w:rFonts w:hint="eastAsia"/>
          <w:szCs w:val="28"/>
        </w:rPr>
        <w:t>10-12月进行收尾及竣工验收</w:t>
      </w:r>
      <w:r>
        <w:rPr>
          <w:rFonts w:hint="eastAsia" w:hAnsi="Times New Roman" w:cs="Times New Roman"/>
          <w:szCs w:val="20"/>
        </w:rPr>
        <w:t>。该项目实际于2020年3月28日开工，截至2021年9月30日，未完工。</w:t>
      </w:r>
    </w:p>
    <w:p>
      <w:pPr>
        <w:ind w:firstLine="560"/>
        <w:rPr>
          <w:b/>
          <w:bCs/>
        </w:rPr>
      </w:pPr>
      <w:r>
        <w:rPr>
          <w:rFonts w:hint="eastAsia"/>
          <w:b/>
          <w:bCs/>
          <w:lang w:val="en-US" w:eastAsia="zh-CN"/>
        </w:rPr>
        <w:t>2.</w:t>
      </w:r>
      <w:r>
        <w:rPr>
          <w:rFonts w:hint="eastAsia"/>
          <w:b/>
          <w:bCs/>
        </w:rPr>
        <w:t>项目实施内容</w:t>
      </w:r>
    </w:p>
    <w:p>
      <w:pPr>
        <w:ind w:firstLine="560"/>
        <w:rPr>
          <w:szCs w:val="28"/>
        </w:rPr>
      </w:pPr>
      <w:r>
        <w:rPr>
          <w:rFonts w:hint="eastAsia"/>
          <w:szCs w:val="28"/>
        </w:rPr>
        <w:t>宁武县汾河河道治理项目</w:t>
      </w:r>
      <w:bookmarkStart w:id="16" w:name="_Toc26621"/>
      <w:r>
        <w:rPr>
          <w:rFonts w:hint="eastAsia"/>
          <w:szCs w:val="28"/>
        </w:rPr>
        <w:t>主要建设内容包括以下内容：</w:t>
      </w:r>
    </w:p>
    <w:p>
      <w:pPr>
        <w:ind w:firstLine="560"/>
        <w:rPr>
          <w:szCs w:val="28"/>
        </w:rPr>
      </w:pPr>
      <w:r>
        <w:rPr>
          <w:rFonts w:hint="eastAsia"/>
          <w:szCs w:val="28"/>
        </w:rPr>
        <w:t>以汾河干流沿线防洪体系治理为主，完善汾河干流沿线防洪体系37.39km，形成主河道沿岸连续堤防防汛抢险道路37km;</w:t>
      </w:r>
    </w:p>
    <w:p>
      <w:pPr>
        <w:ind w:firstLine="560"/>
        <w:rPr>
          <w:szCs w:val="28"/>
        </w:rPr>
      </w:pPr>
      <w:r>
        <w:rPr>
          <w:rFonts w:hint="eastAsia"/>
          <w:szCs w:val="28"/>
        </w:rPr>
        <w:t>完善支沟防洪体系，实施汾河支流治理工程7.50km;</w:t>
      </w:r>
    </w:p>
    <w:p>
      <w:pPr>
        <w:ind w:firstLine="560"/>
        <w:rPr>
          <w:szCs w:val="28"/>
        </w:rPr>
      </w:pPr>
      <w:r>
        <w:rPr>
          <w:rFonts w:hint="eastAsia"/>
          <w:szCs w:val="28"/>
        </w:rPr>
        <w:t>实施汾河干流及支流河道疏浚，疏浚淤积河段20km；</w:t>
      </w:r>
    </w:p>
    <w:p>
      <w:pPr>
        <w:ind w:firstLine="560"/>
      </w:pPr>
      <w:r>
        <w:rPr>
          <w:rFonts w:hint="eastAsia"/>
        </w:rPr>
        <w:t>为满足生态蓄水要求，配合生态湿地建设，新建液压坝4座，新建溢流堰2座，清淤现状溢流堰1座；</w:t>
      </w:r>
    </w:p>
    <w:p>
      <w:pPr>
        <w:ind w:firstLine="560"/>
        <w:rPr>
          <w:szCs w:val="28"/>
        </w:rPr>
      </w:pPr>
      <w:r>
        <w:rPr>
          <w:rFonts w:hint="eastAsia"/>
          <w:szCs w:val="28"/>
        </w:rPr>
        <w:t>运用大数据、物联网等信息化手段，分别对水环境、流域生态、水土保持三方面涉及数据及进行长期的动态变化检测，建立全方位的全流域规范统一的智慧流域体系。</w:t>
      </w:r>
    </w:p>
    <w:bookmarkEnd w:id="16"/>
    <w:p>
      <w:pPr>
        <w:pStyle w:val="4"/>
        <w:ind w:firstLine="56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项目</w:t>
      </w:r>
      <w:r>
        <w:rPr>
          <w:rFonts w:hint="eastAsia"/>
          <w:lang w:eastAsia="zh-CN"/>
        </w:rPr>
        <w:t>资金投入和使用情况</w:t>
      </w:r>
      <w:r>
        <w:rPr>
          <w:rFonts w:hint="eastAsia"/>
          <w:lang w:eastAsia="zh-CN"/>
        </w:rPr>
        <w:tab/>
      </w:r>
    </w:p>
    <w:p>
      <w:pPr>
        <w:ind w:firstLine="560"/>
        <w:rPr>
          <w:b/>
          <w:bCs/>
        </w:rPr>
      </w:pPr>
      <w:bookmarkStart w:id="17" w:name="_Toc62460005"/>
      <w:bookmarkStart w:id="18" w:name="_Toc62656256"/>
      <w:bookmarkStart w:id="19" w:name="_Toc62228841"/>
      <w:bookmarkStart w:id="20" w:name="_Toc62460234"/>
      <w:bookmarkStart w:id="21" w:name="_Toc72769079"/>
      <w:bookmarkStart w:id="22" w:name="_Toc72708100"/>
      <w:r>
        <w:rPr>
          <w:rFonts w:hint="eastAsia"/>
          <w:b/>
          <w:bCs/>
          <w:lang w:val="en-US" w:eastAsia="zh-CN"/>
        </w:rPr>
        <w:t>1.</w:t>
      </w:r>
      <w:r>
        <w:rPr>
          <w:rFonts w:hint="eastAsia"/>
          <w:b/>
          <w:bCs/>
        </w:rPr>
        <w:t>资金投入情况</w:t>
      </w:r>
      <w:bookmarkEnd w:id="17"/>
      <w:bookmarkEnd w:id="18"/>
      <w:bookmarkEnd w:id="19"/>
      <w:bookmarkEnd w:id="20"/>
      <w:bookmarkEnd w:id="21"/>
      <w:bookmarkEnd w:id="22"/>
    </w:p>
    <w:p>
      <w:pPr>
        <w:ind w:firstLine="560"/>
      </w:pPr>
      <w:r>
        <w:rPr>
          <w:rFonts w:hint="eastAsia"/>
          <w:szCs w:val="28"/>
        </w:rPr>
        <w:t>宁武县汾河河道治理项目</w:t>
      </w:r>
      <w:r>
        <w:rPr>
          <w:rFonts w:hint="eastAsia"/>
        </w:rPr>
        <w:t>预算资金为500万元，项目资金来源财政赤字国债，主要用于完善防洪体系、河道疏浚、搭建汾河流域智慧平台等。</w:t>
      </w:r>
    </w:p>
    <w:p>
      <w:pPr>
        <w:ind w:firstLine="560"/>
        <w:rPr>
          <w:b/>
          <w:bCs/>
        </w:rPr>
      </w:pPr>
      <w:r>
        <w:rPr>
          <w:rFonts w:hint="eastAsia"/>
          <w:b/>
          <w:bCs/>
          <w:lang w:val="en-US" w:eastAsia="zh-CN"/>
        </w:rPr>
        <w:t>2.</w:t>
      </w:r>
      <w:r>
        <w:rPr>
          <w:rFonts w:hint="eastAsia"/>
          <w:b/>
          <w:bCs/>
        </w:rPr>
        <w:t>资金使用情况</w:t>
      </w:r>
    </w:p>
    <w:p>
      <w:pPr>
        <w:ind w:firstLine="560"/>
      </w:pPr>
      <w:r>
        <w:rPr>
          <w:rFonts w:hint="eastAsia"/>
        </w:rPr>
        <w:t>截至2021年9月30日，项目实际支出500万元。资金具体使用情况见表1-1。</w:t>
      </w:r>
    </w:p>
    <w:p>
      <w:pPr>
        <w:pStyle w:val="2"/>
        <w:spacing w:before="0" w:line="240" w:lineRule="auto"/>
        <w:ind w:firstLine="0" w:firstLineChars="0"/>
        <w:jc w:val="center"/>
        <w:rPr>
          <w:rFonts w:ascii="宋体" w:hAnsi="宋体" w:cs="宋体"/>
        </w:rPr>
      </w:pPr>
      <w:r>
        <w:rPr>
          <w:rFonts w:hint="eastAsia" w:ascii="宋体" w:hAnsi="宋体" w:cs="宋体"/>
        </w:rPr>
        <w:t>表1-1 资金使用情况表</w:t>
      </w:r>
    </w:p>
    <w:p>
      <w:pPr>
        <w:pStyle w:val="2"/>
        <w:spacing w:before="0" w:line="240" w:lineRule="auto"/>
        <w:ind w:firstLine="0" w:firstLineChars="0"/>
        <w:jc w:val="right"/>
        <w:rPr>
          <w:rFonts w:ascii="宋体" w:hAnsi="宋体" w:cs="宋体"/>
        </w:rPr>
      </w:pPr>
      <w:r>
        <w:rPr>
          <w:rFonts w:hint="eastAsia" w:ascii="宋体" w:hAnsi="宋体" w:cs="宋体"/>
        </w:rPr>
        <w:t>单位：万元</w:t>
      </w:r>
    </w:p>
    <w:tbl>
      <w:tblPr>
        <w:tblStyle w:val="22"/>
        <w:tblW w:w="0" w:type="auto"/>
        <w:tblInd w:w="146"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382"/>
        <w:gridCol w:w="1529"/>
        <w:gridCol w:w="2530"/>
        <w:gridCol w:w="1446"/>
        <w:gridCol w:w="954"/>
        <w:gridCol w:w="1186"/>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382" w:type="dxa"/>
            <w:tcBorders>
              <w:tl2br w:val="nil"/>
              <w:tr2bl w:val="nil"/>
            </w:tcBorders>
            <w:shd w:val="clear" w:color="auto" w:fill="BEBEBE" w:themeFill="background1" w:themeFillShade="BF"/>
            <w:vAlign w:val="center"/>
          </w:tcPr>
          <w:p>
            <w:pPr>
              <w:widowControl/>
              <w:spacing w:line="240" w:lineRule="auto"/>
              <w:ind w:firstLine="0" w:firstLineChars="0"/>
              <w:jc w:val="center"/>
              <w:rPr>
                <w:rFonts w:ascii="宋体" w:hAnsi="宋体" w:eastAsia="宋体" w:cs="宋体"/>
                <w:sz w:val="24"/>
              </w:rPr>
            </w:pPr>
            <w:r>
              <w:rPr>
                <w:rFonts w:hint="eastAsia" w:ascii="宋体" w:hAnsi="宋体" w:eastAsia="宋体" w:cs="宋体"/>
                <w:b/>
                <w:color w:val="000000"/>
                <w:kern w:val="0"/>
                <w:sz w:val="24"/>
                <w:lang w:bidi="ar"/>
              </w:rPr>
              <w:t>项目名称</w:t>
            </w:r>
          </w:p>
        </w:tc>
        <w:tc>
          <w:tcPr>
            <w:tcW w:w="1529" w:type="dxa"/>
            <w:tcBorders>
              <w:tl2br w:val="nil"/>
              <w:tr2bl w:val="nil"/>
            </w:tcBorders>
            <w:shd w:val="clear" w:color="auto" w:fill="BEBEBE" w:themeFill="background1" w:themeFillShade="BF"/>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b/>
                <w:color w:val="000000"/>
                <w:kern w:val="0"/>
                <w:sz w:val="24"/>
                <w:lang w:bidi="ar"/>
              </w:rPr>
              <w:t>支付单位</w:t>
            </w:r>
          </w:p>
        </w:tc>
        <w:tc>
          <w:tcPr>
            <w:tcW w:w="2530" w:type="dxa"/>
            <w:tcBorders>
              <w:tl2br w:val="nil"/>
              <w:tr2bl w:val="nil"/>
            </w:tcBorders>
            <w:shd w:val="clear" w:color="auto" w:fill="BEBEBE" w:themeFill="background1" w:themeFillShade="BF"/>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b/>
                <w:color w:val="000000"/>
                <w:kern w:val="0"/>
                <w:sz w:val="24"/>
                <w:lang w:bidi="ar"/>
              </w:rPr>
              <w:t>收款单位</w:t>
            </w:r>
          </w:p>
        </w:tc>
        <w:tc>
          <w:tcPr>
            <w:tcW w:w="1446" w:type="dxa"/>
            <w:tcBorders>
              <w:tl2br w:val="nil"/>
              <w:tr2bl w:val="nil"/>
            </w:tcBorders>
            <w:shd w:val="clear" w:color="auto" w:fill="BEBEBE" w:themeFill="background1" w:themeFillShade="BF"/>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b/>
                <w:color w:val="000000"/>
                <w:kern w:val="0"/>
                <w:sz w:val="24"/>
                <w:lang w:bidi="ar"/>
              </w:rPr>
              <w:t>资金来源</w:t>
            </w:r>
          </w:p>
        </w:tc>
        <w:tc>
          <w:tcPr>
            <w:tcW w:w="954" w:type="dxa"/>
            <w:tcBorders>
              <w:tl2br w:val="nil"/>
              <w:tr2bl w:val="nil"/>
            </w:tcBorders>
            <w:shd w:val="clear" w:color="auto" w:fill="BEBEBE" w:themeFill="background1" w:themeFillShade="BF"/>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b/>
                <w:color w:val="000000"/>
                <w:kern w:val="0"/>
                <w:sz w:val="24"/>
                <w:lang w:bidi="ar"/>
              </w:rPr>
              <w:t>金额</w:t>
            </w:r>
          </w:p>
        </w:tc>
        <w:tc>
          <w:tcPr>
            <w:tcW w:w="1186" w:type="dxa"/>
            <w:tcBorders>
              <w:tl2br w:val="nil"/>
              <w:tr2bl w:val="nil"/>
            </w:tcBorders>
            <w:shd w:val="clear" w:color="auto" w:fill="BEBEBE" w:themeFill="background1" w:themeFillShade="BF"/>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b/>
                <w:color w:val="000000"/>
                <w:kern w:val="0"/>
                <w:sz w:val="24"/>
                <w:lang w:bidi="ar"/>
              </w:rPr>
              <w:t>支付明细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1382" w:type="dxa"/>
            <w:tcBorders>
              <w:tl2br w:val="nil"/>
              <w:tr2bl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宁武县汾河河道治理项目</w:t>
            </w:r>
          </w:p>
        </w:tc>
        <w:tc>
          <w:tcPr>
            <w:tcW w:w="1529" w:type="dxa"/>
            <w:tcBorders>
              <w:tl2br w:val="nil"/>
              <w:tr2bl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宁武县国库集中支付中心</w:t>
            </w:r>
          </w:p>
        </w:tc>
        <w:tc>
          <w:tcPr>
            <w:tcW w:w="2530" w:type="dxa"/>
            <w:tcBorders>
              <w:tl2br w:val="nil"/>
              <w:tr2bl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中建交通建设集团有限公司宁武县汾河河道治理项目EPC总承包项目部</w:t>
            </w:r>
          </w:p>
        </w:tc>
        <w:tc>
          <w:tcPr>
            <w:tcW w:w="1446" w:type="dxa"/>
            <w:tcBorders>
              <w:tl2br w:val="nil"/>
              <w:tr2bl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忻财债〔2020〕30号</w:t>
            </w:r>
          </w:p>
        </w:tc>
        <w:tc>
          <w:tcPr>
            <w:tcW w:w="954" w:type="dxa"/>
            <w:tcBorders>
              <w:tl2br w:val="nil"/>
              <w:tr2bl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500</w:t>
            </w:r>
          </w:p>
        </w:tc>
        <w:tc>
          <w:tcPr>
            <w:tcW w:w="1186" w:type="dxa"/>
            <w:tcBorders>
              <w:tl2br w:val="nil"/>
              <w:tr2bl w:val="nil"/>
            </w:tcBorders>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color w:val="000000"/>
                <w:kern w:val="0"/>
                <w:sz w:val="24"/>
                <w:lang w:bidi="ar"/>
              </w:rPr>
              <w:t>工程款</w:t>
            </w:r>
          </w:p>
        </w:tc>
      </w:tr>
    </w:tbl>
    <w:p>
      <w:pPr>
        <w:pStyle w:val="4"/>
        <w:keepNext w:val="0"/>
        <w:keepLines w:val="0"/>
        <w:pageBreakBefore w:val="0"/>
        <w:widowControl w:val="0"/>
        <w:kinsoku/>
        <w:wordWrap/>
        <w:overflowPunct/>
        <w:topLinePunct w:val="0"/>
        <w:autoSpaceDE/>
        <w:autoSpaceDN/>
        <w:bidi w:val="0"/>
        <w:adjustRightInd/>
        <w:snapToGrid/>
        <w:spacing w:before="192" w:beforeLines="50"/>
        <w:ind w:firstLine="560"/>
        <w:textAlignment w:val="auto"/>
      </w:pPr>
      <w:bookmarkStart w:id="23" w:name="_Toc27857"/>
      <w:bookmarkStart w:id="24" w:name="_Toc165"/>
      <w:r>
        <w:rPr>
          <w:rFonts w:hint="eastAsia"/>
        </w:rPr>
        <w:t>（</w:t>
      </w:r>
      <w:r>
        <w:rPr>
          <w:rFonts w:hint="eastAsia"/>
          <w:lang w:val="en-US" w:eastAsia="zh-CN"/>
        </w:rPr>
        <w:t>四</w:t>
      </w:r>
      <w:r>
        <w:rPr>
          <w:rFonts w:hint="eastAsia"/>
        </w:rPr>
        <w:t>）项目绩效目标</w:t>
      </w:r>
      <w:bookmarkEnd w:id="23"/>
      <w:bookmarkEnd w:id="24"/>
    </w:p>
    <w:p>
      <w:pPr>
        <w:pStyle w:val="5"/>
        <w:ind w:firstLine="562"/>
      </w:pPr>
      <w:bookmarkStart w:id="25" w:name="_Toc62460242"/>
      <w:bookmarkStart w:id="26" w:name="_Toc62460013"/>
      <w:bookmarkStart w:id="27" w:name="_Toc72708108"/>
      <w:bookmarkStart w:id="28" w:name="_Toc62656264"/>
      <w:bookmarkStart w:id="29" w:name="_Toc62228849"/>
      <w:bookmarkStart w:id="30" w:name="_Toc72769087"/>
      <w:r>
        <w:rPr>
          <w:rFonts w:hint="eastAsia"/>
        </w:rPr>
        <w:t>1.总体目标</w:t>
      </w:r>
      <w:bookmarkEnd w:id="25"/>
      <w:bookmarkEnd w:id="26"/>
      <w:bookmarkEnd w:id="27"/>
      <w:bookmarkEnd w:id="28"/>
      <w:bookmarkEnd w:id="29"/>
      <w:bookmarkEnd w:id="30"/>
    </w:p>
    <w:p>
      <w:pPr>
        <w:ind w:firstLine="560"/>
      </w:pPr>
      <w:bookmarkStart w:id="31" w:name="_Toc72708109"/>
      <w:bookmarkStart w:id="32" w:name="_Toc72769088"/>
      <w:bookmarkStart w:id="33" w:name="_Toc62460014"/>
      <w:bookmarkStart w:id="34" w:name="_Toc62460243"/>
      <w:bookmarkStart w:id="35" w:name="_Toc62656265"/>
      <w:bookmarkStart w:id="36" w:name="_Toc62228850"/>
      <w:r>
        <w:rPr>
          <w:rFonts w:hint="eastAsia"/>
        </w:rPr>
        <w:t>有效解决试点区生态环境难题，将试点区建成集“生态友好、环境美丽、功能完善和文化永续”的生命共同体，打造“山青、水绿、林郁、田沃、河美”的生态安全带，成为华夏文明永续发展的重点区域，达到区域生态“格局优化、系统稳定”和脱贫攻坚的目标。</w:t>
      </w:r>
    </w:p>
    <w:p>
      <w:pPr>
        <w:pStyle w:val="5"/>
        <w:ind w:firstLine="562"/>
      </w:pPr>
      <w:r>
        <w:rPr>
          <w:rFonts w:hint="eastAsia"/>
        </w:rPr>
        <w:t>2.具体目标</w:t>
      </w:r>
      <w:bookmarkEnd w:id="31"/>
      <w:bookmarkEnd w:id="32"/>
      <w:bookmarkEnd w:id="33"/>
      <w:bookmarkEnd w:id="34"/>
      <w:bookmarkEnd w:id="35"/>
      <w:bookmarkEnd w:id="36"/>
    </w:p>
    <w:p>
      <w:pPr>
        <w:ind w:firstLine="560"/>
      </w:pPr>
      <w:r>
        <w:rPr>
          <w:rFonts w:hint="eastAsia"/>
        </w:rPr>
        <w:t>（1）保护和修复汾河水环境和区域生态环境，有效涵养水源，增加地表径流，改善河流水质，恢复汾河流水哗啦啦的自然美景，促进人与自然的和谐；</w:t>
      </w:r>
    </w:p>
    <w:p>
      <w:pPr>
        <w:ind w:firstLine="560"/>
      </w:pPr>
      <w:r>
        <w:rPr>
          <w:rFonts w:hint="eastAsia"/>
        </w:rPr>
        <w:t>（2）规范河道，引导河水流向，确保村庄、道路、学校等不受洪水侵扰；</w:t>
      </w:r>
    </w:p>
    <w:p>
      <w:pPr>
        <w:ind w:firstLine="560"/>
      </w:pPr>
      <w:r>
        <w:rPr>
          <w:rFonts w:hint="eastAsia"/>
        </w:rPr>
        <w:t>（3）拦蓄地表径流、增加湿地面积，有效补充地下水，提高地下水位；</w:t>
      </w:r>
    </w:p>
    <w:p>
      <w:pPr>
        <w:ind w:left="560" w:leftChars="200" w:firstLine="0" w:firstLineChars="0"/>
      </w:pPr>
      <w:r>
        <w:rPr>
          <w:rFonts w:hint="eastAsia"/>
        </w:rPr>
        <w:t>（4）拦蓄泥沙，年可减少淤积量65.33万吨；</w:t>
      </w:r>
    </w:p>
    <w:p>
      <w:pPr>
        <w:ind w:firstLine="560"/>
      </w:pPr>
      <w:r>
        <w:rPr>
          <w:rFonts w:hint="eastAsia"/>
        </w:rPr>
        <w:t>（5）保护耕地 20,000 亩，防止水流淘刷河床，造成新的水土流失；</w:t>
      </w:r>
    </w:p>
    <w:p>
      <w:pPr>
        <w:ind w:firstLine="560"/>
        <w:rPr>
          <w:highlight w:val="yellow"/>
          <w:lang w:val="zh-CN"/>
        </w:rPr>
      </w:pPr>
      <w:r>
        <w:rPr>
          <w:rFonts w:hint="eastAsia"/>
        </w:rPr>
        <w:t>（6）工程施工期间可为项目区贫困</w:t>
      </w:r>
      <w:r>
        <w:rPr>
          <w:rFonts w:hint="eastAsia"/>
          <w:lang w:val="en-US" w:eastAsia="zh-CN"/>
        </w:rPr>
        <w:t>人口</w:t>
      </w:r>
      <w:r>
        <w:rPr>
          <w:rFonts w:hint="eastAsia"/>
        </w:rPr>
        <w:t>每人务工增收 12,000元。</w:t>
      </w:r>
    </w:p>
    <w:p>
      <w:pPr>
        <w:pStyle w:val="3"/>
        <w:ind w:firstLine="560"/>
      </w:pPr>
      <w:bookmarkStart w:id="37" w:name="_Toc16299"/>
      <w:bookmarkStart w:id="38" w:name="_Toc31409"/>
      <w:r>
        <w:rPr>
          <w:rFonts w:hint="eastAsia"/>
        </w:rPr>
        <w:t>二、绩效评价工作</w:t>
      </w:r>
      <w:r>
        <w:rPr>
          <w:rFonts w:hint="eastAsia"/>
          <w:lang w:val="en-US" w:eastAsia="zh-CN"/>
        </w:rPr>
        <w:t>开展</w:t>
      </w:r>
      <w:r>
        <w:rPr>
          <w:rFonts w:hint="eastAsia"/>
        </w:rPr>
        <w:t>情况</w:t>
      </w:r>
      <w:bookmarkEnd w:id="37"/>
      <w:bookmarkEnd w:id="38"/>
    </w:p>
    <w:p>
      <w:pPr>
        <w:pStyle w:val="4"/>
        <w:ind w:firstLine="560"/>
        <w:rPr>
          <w:rFonts w:ascii="仿宋_GB2312" w:hAnsi="仿宋" w:eastAsia="仿宋_GB2312" w:cs="仿宋"/>
        </w:rPr>
      </w:pPr>
      <w:bookmarkStart w:id="39" w:name="_Toc17582"/>
      <w:bookmarkStart w:id="40" w:name="_Toc4458"/>
      <w:bookmarkStart w:id="41" w:name="_Toc5022"/>
      <w:r>
        <w:rPr>
          <w:rFonts w:hint="eastAsia"/>
        </w:rPr>
        <w:t>（一）评价目的</w:t>
      </w:r>
      <w:bookmarkEnd w:id="39"/>
      <w:bookmarkEnd w:id="40"/>
    </w:p>
    <w:p>
      <w:pPr>
        <w:ind w:firstLine="560"/>
      </w:pPr>
      <w:r>
        <w:t>全面反映</w:t>
      </w:r>
      <w:r>
        <w:rPr>
          <w:rFonts w:hint="eastAsia"/>
        </w:rPr>
        <w:t>宁武县汾河河道治理项目2020年</w:t>
      </w:r>
      <w:r>
        <w:t>所涉及的资金产出和结果的经济性、效率性、效益性和公平性，及时发现问题，分析原因，提出建议，</w:t>
      </w:r>
      <w:r>
        <w:rPr>
          <w:rFonts w:hint="eastAsia" w:hAnsi="仿宋_GB2312" w:cs="仿宋_GB2312"/>
          <w:color w:val="000000"/>
          <w:szCs w:val="27"/>
        </w:rPr>
        <w:t>为项目主管部门掌握项目动态、优化项目信息反馈机制，加强项目监管、强化政企合作机制提供可行性参考建议；同时</w:t>
      </w:r>
      <w:r>
        <w:t>为财政部门加强财政支出管理，科学配置资源，提高财政资金使用效益，合理安排以后年度财政预算提供参考。</w:t>
      </w:r>
    </w:p>
    <w:p>
      <w:pPr>
        <w:pStyle w:val="4"/>
        <w:ind w:firstLine="560"/>
      </w:pPr>
      <w:bookmarkStart w:id="42" w:name="_Toc23352"/>
      <w:r>
        <w:rPr>
          <w:rFonts w:hint="eastAsia"/>
        </w:rPr>
        <w:t>（</w:t>
      </w:r>
      <w:r>
        <w:rPr>
          <w:rFonts w:hint="eastAsia"/>
          <w:lang w:val="en-US" w:eastAsia="zh-CN"/>
        </w:rPr>
        <w:t>二</w:t>
      </w:r>
      <w:r>
        <w:rPr>
          <w:rFonts w:hint="eastAsia"/>
        </w:rPr>
        <w:t>）评价对象和范围</w:t>
      </w:r>
      <w:bookmarkEnd w:id="41"/>
      <w:bookmarkEnd w:id="42"/>
    </w:p>
    <w:p>
      <w:pPr>
        <w:ind w:firstLine="560"/>
      </w:pPr>
      <w:r>
        <w:rPr>
          <w:rFonts w:hint="eastAsia"/>
        </w:rPr>
        <w:t>本次绩效评价的对象是宁武县汾河河道治理项目2020年专项资金50</w:t>
      </w:r>
      <w:r>
        <w:rPr>
          <w:rFonts w:hint="eastAsia" w:hAnsi="仿宋_GB2312" w:cs="仿宋_GB2312"/>
          <w:szCs w:val="28"/>
        </w:rPr>
        <w:t>0万元</w:t>
      </w:r>
      <w:r>
        <w:rPr>
          <w:rFonts w:hint="eastAsia"/>
        </w:rPr>
        <w:t>。</w:t>
      </w:r>
    </w:p>
    <w:p>
      <w:pPr>
        <w:ind w:firstLine="560"/>
      </w:pPr>
      <w:r>
        <w:rPr>
          <w:rFonts w:hint="eastAsia"/>
        </w:rPr>
        <w:t>绩效评价的范围是宁武县汾河河道治理项目资金产生的绩效以及为产生绩效所经历的各环节过程，具体绩效评价范围包括项目决策、过程、产出、效益。</w:t>
      </w:r>
    </w:p>
    <w:p>
      <w:pPr>
        <w:pStyle w:val="4"/>
        <w:ind w:firstLine="560"/>
      </w:pPr>
      <w:bookmarkStart w:id="43" w:name="_Toc27629"/>
      <w:bookmarkStart w:id="44" w:name="_Toc20040"/>
      <w:bookmarkStart w:id="45" w:name="_Toc13167"/>
      <w:r>
        <w:rPr>
          <w:rFonts w:hint="eastAsia"/>
        </w:rPr>
        <w:t>（</w:t>
      </w:r>
      <w:r>
        <w:rPr>
          <w:rFonts w:hint="eastAsia"/>
          <w:lang w:val="en-US" w:eastAsia="zh-CN"/>
        </w:rPr>
        <w:t>三</w:t>
      </w:r>
      <w:r>
        <w:rPr>
          <w:rFonts w:hint="eastAsia"/>
        </w:rPr>
        <w:t>）评价基准日</w:t>
      </w:r>
      <w:bookmarkEnd w:id="43"/>
      <w:bookmarkEnd w:id="44"/>
    </w:p>
    <w:p>
      <w:pPr>
        <w:ind w:firstLine="560"/>
      </w:pPr>
      <w:r>
        <w:rPr>
          <w:rFonts w:hint="eastAsia"/>
        </w:rPr>
        <w:t>评价小组于2021年8月进入现场收集资料并进行实地查看，于2021年10月撰写宁武县汾河河道治理项目资金绩效评价报告，因此，该项目绩效评价时段为2020年1月1日－2021年9月30日。评价基准日是2021年9月30日。</w:t>
      </w:r>
    </w:p>
    <w:bookmarkEnd w:id="45"/>
    <w:p>
      <w:pPr>
        <w:pStyle w:val="4"/>
        <w:ind w:firstLine="560"/>
      </w:pPr>
      <w:bookmarkStart w:id="46" w:name="_Toc15477"/>
      <w:bookmarkStart w:id="47" w:name="_Toc32414"/>
      <w:bookmarkStart w:id="48" w:name="_Toc11078"/>
      <w:r>
        <w:rPr>
          <w:rFonts w:hint="eastAsia"/>
        </w:rPr>
        <w:t>（</w:t>
      </w:r>
      <w:r>
        <w:rPr>
          <w:rFonts w:hint="eastAsia"/>
          <w:lang w:val="en-US" w:eastAsia="zh-CN"/>
        </w:rPr>
        <w:t>四</w:t>
      </w:r>
      <w:r>
        <w:rPr>
          <w:rFonts w:hint="eastAsia"/>
        </w:rPr>
        <w:t>）绩效评价指标体系</w:t>
      </w:r>
      <w:bookmarkEnd w:id="46"/>
      <w:bookmarkEnd w:id="47"/>
    </w:p>
    <w:p>
      <w:pPr>
        <w:pStyle w:val="5"/>
        <w:ind w:firstLine="562"/>
      </w:pPr>
      <w:r>
        <w:rPr>
          <w:rFonts w:hint="eastAsia"/>
        </w:rPr>
        <w:t>1.指标体系设计思路</w:t>
      </w:r>
    </w:p>
    <w:p>
      <w:pPr>
        <w:pStyle w:val="18"/>
        <w:widowControl/>
        <w:spacing w:beforeAutospacing="0" w:afterAutospacing="0"/>
        <w:ind w:firstLine="560"/>
        <w:rPr>
          <w:rFonts w:hAnsi="仿宋_GB2312" w:cs="仿宋_GB2312"/>
          <w:color w:val="000000"/>
          <w:sz w:val="28"/>
          <w:szCs w:val="27"/>
        </w:rPr>
      </w:pPr>
      <w:r>
        <w:rPr>
          <w:rFonts w:hint="eastAsia" w:hAnsi="仿宋_GB2312" w:cs="仿宋_GB2312"/>
          <w:color w:val="000000"/>
          <w:sz w:val="28"/>
          <w:szCs w:val="27"/>
        </w:rPr>
        <w:t>参照绩效评价的基本原理、原则和项目特点，评价组结合《财政支出绩效评价管理办法》（财预〔2020〕10号）、《山西省财政厅关于印发 &lt;省级项目支出绩效评价管理办法&gt;的通知》（晋财绩〔2020〕17号）等文件的要求，从决策类（包括项目立项、绩效目标、资金投入）、过程类（包括资金管理、组织实施）、产出类（包括产出数量、产出质量、产出时效、产出成本）、效益类（包括项目效益、可持续性）四个维度进行评价。</w:t>
      </w:r>
    </w:p>
    <w:p>
      <w:pPr>
        <w:pStyle w:val="5"/>
        <w:ind w:firstLine="562"/>
      </w:pPr>
      <w:r>
        <w:rPr>
          <w:rFonts w:hint="eastAsia"/>
        </w:rPr>
        <w:t>2.指标体系具体内容</w:t>
      </w:r>
    </w:p>
    <w:p>
      <w:pPr>
        <w:ind w:firstLine="560"/>
        <w:rPr>
          <w:rFonts w:hAnsi="仿宋" w:cs="仿宋"/>
          <w:bCs/>
        </w:rPr>
      </w:pPr>
      <w:r>
        <w:rPr>
          <w:rFonts w:hint="eastAsia" w:hAnsi="仿宋_GB2312" w:cs="仿宋_GB2312"/>
          <w:color w:val="000000"/>
          <w:sz w:val="28"/>
          <w:szCs w:val="27"/>
        </w:rPr>
        <w:t>指标体系由4项一级指标、13项二级指标、25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产出成本四个角度考核项目完成情况、项目质量达标情况、项目完成时效、项目成本节约率。效益类指标占权重分30分，从项目的社会效益、生态效益、可持续影响、满意度进行考核。</w:t>
      </w:r>
    </w:p>
    <w:bookmarkEnd w:id="48"/>
    <w:p>
      <w:pPr>
        <w:pStyle w:val="4"/>
        <w:ind w:firstLine="560"/>
      </w:pPr>
      <w:bookmarkStart w:id="49" w:name="_Toc29241"/>
      <w:bookmarkStart w:id="50" w:name="_Toc26799"/>
      <w:bookmarkStart w:id="51" w:name="_Toc25249"/>
      <w:r>
        <w:rPr>
          <w:rFonts w:hint="eastAsia"/>
        </w:rPr>
        <w:t>（</w:t>
      </w:r>
      <w:r>
        <w:rPr>
          <w:rFonts w:hint="eastAsia"/>
          <w:lang w:val="en-US" w:eastAsia="zh-CN"/>
        </w:rPr>
        <w:t>五</w:t>
      </w:r>
      <w:r>
        <w:rPr>
          <w:rFonts w:hint="eastAsia"/>
        </w:rPr>
        <w:t>）绩效评价工作过程</w:t>
      </w:r>
      <w:bookmarkEnd w:id="49"/>
      <w:bookmarkEnd w:id="50"/>
    </w:p>
    <w:p>
      <w:pPr>
        <w:ind w:firstLine="560"/>
        <w:rPr>
          <w:rFonts w:hAnsi="仿宋" w:cs="仿宋"/>
          <w:bCs/>
        </w:rPr>
      </w:pPr>
      <w:r>
        <w:rPr>
          <w:rFonts w:hAnsi="仿宋" w:cs="仿宋"/>
          <w:bCs/>
        </w:rPr>
        <w:t>按照</w:t>
      </w:r>
      <w:r>
        <w:rPr>
          <w:rFonts w:hint="eastAsia" w:hAnsi="仿宋" w:cs="仿宋"/>
          <w:bCs/>
        </w:rPr>
        <w:t>宁武县财政局</w:t>
      </w:r>
      <w:r>
        <w:rPr>
          <w:rFonts w:hAnsi="仿宋" w:cs="仿宋"/>
          <w:bCs/>
        </w:rPr>
        <w:t>的委托要求，我公司高度重视，积极筹备，成立项目领导组负责评价过程的协调和督导。领导组下设评价工作组，集合注册会计师、绩效评价师等多个专业于一体，切实结合本项目的特点，在实地调研阶段，设置现场评价小组，负责绩效评价方案的制定、资料收集整理、拟定评价指标、细化评分标准、开展社会调查、进行对象访谈、评价报告的撰写、审核和修改等具体工作。</w:t>
      </w:r>
    </w:p>
    <w:p>
      <w:pPr>
        <w:ind w:firstLine="560"/>
        <w:rPr>
          <w:rFonts w:hAnsi="仿宋" w:cs="仿宋"/>
          <w:bCs/>
        </w:rPr>
      </w:pPr>
      <w:r>
        <w:rPr>
          <w:rFonts w:hAnsi="仿宋" w:cs="仿宋"/>
          <w:bCs/>
        </w:rPr>
        <w:t>本次绩效评价工作分为评价准备阶段、组织实施阶段、报告撰写阶段三个阶段。</w:t>
      </w:r>
    </w:p>
    <w:p>
      <w:pPr>
        <w:pStyle w:val="5"/>
        <w:ind w:firstLine="562"/>
      </w:pPr>
      <w:r>
        <w:t>1.评价准备阶段</w:t>
      </w:r>
    </w:p>
    <w:p>
      <w:pPr>
        <w:pStyle w:val="18"/>
        <w:widowControl/>
        <w:spacing w:beforeAutospacing="0" w:afterAutospacing="0"/>
        <w:ind w:firstLine="560"/>
        <w:jc w:val="both"/>
        <w:rPr>
          <w:rFonts w:hAnsi="仿宋_GB2312" w:cs="仿宋_GB2312"/>
          <w:color w:val="000000"/>
          <w:sz w:val="28"/>
          <w:szCs w:val="27"/>
        </w:rPr>
      </w:pPr>
      <w:r>
        <w:rPr>
          <w:rFonts w:hAnsi="仿宋_GB2312" w:cs="仿宋_GB2312"/>
          <w:color w:val="000000"/>
          <w:sz w:val="28"/>
          <w:szCs w:val="27"/>
        </w:rPr>
        <w:t>制定项目评价实施方案。在收集、审核资料的基础上，根据项目具体情况制定绩效评价实施方案，并拟定评价指标体系，细化评分标准。</w:t>
      </w:r>
    </w:p>
    <w:p>
      <w:pPr>
        <w:pStyle w:val="5"/>
        <w:ind w:firstLine="562"/>
      </w:pPr>
      <w:r>
        <w:t>2.组织实施阶段</w:t>
      </w:r>
    </w:p>
    <w:p>
      <w:pPr>
        <w:pStyle w:val="18"/>
        <w:widowControl/>
        <w:spacing w:beforeAutospacing="0" w:afterAutospacing="0"/>
        <w:ind w:firstLine="560"/>
        <w:jc w:val="both"/>
        <w:rPr>
          <w:rFonts w:hAnsi="仿宋_GB2312" w:cs="仿宋_GB2312"/>
          <w:color w:val="000000"/>
          <w:sz w:val="28"/>
          <w:szCs w:val="27"/>
        </w:rPr>
      </w:pPr>
      <w:r>
        <w:rPr>
          <w:rFonts w:hAnsi="仿宋_GB2312" w:cs="仿宋_GB2312"/>
          <w:color w:val="000000"/>
          <w:sz w:val="28"/>
          <w:szCs w:val="27"/>
        </w:rPr>
        <w:t>（1）收集、审核资料。在全面收集资料的基础上，根据评价工作方案，对已收集的资料进行分类整理、审查和分析。</w:t>
      </w:r>
    </w:p>
    <w:p>
      <w:pPr>
        <w:pStyle w:val="18"/>
        <w:widowControl/>
        <w:spacing w:beforeAutospacing="0" w:afterAutospacing="0"/>
        <w:ind w:firstLine="560"/>
        <w:jc w:val="both"/>
        <w:rPr>
          <w:rFonts w:hAnsi="仿宋_GB2312" w:cs="仿宋_GB2312"/>
          <w:color w:val="000000"/>
          <w:sz w:val="28"/>
          <w:szCs w:val="27"/>
        </w:rPr>
      </w:pPr>
      <w:r>
        <w:rPr>
          <w:rFonts w:hAnsi="仿宋_GB2312" w:cs="仿宋_GB2312"/>
          <w:color w:val="000000"/>
          <w:sz w:val="28"/>
          <w:szCs w:val="27"/>
        </w:rPr>
        <w:t>（2）现场勘查。根据评价对象的特点和项目单位提供的数据资料，现场勘查项目建设情况及运营情况。</w:t>
      </w:r>
    </w:p>
    <w:p>
      <w:pPr>
        <w:pStyle w:val="18"/>
        <w:widowControl/>
        <w:spacing w:beforeAutospacing="0" w:afterAutospacing="0"/>
        <w:ind w:firstLine="560"/>
        <w:jc w:val="both"/>
        <w:rPr>
          <w:rFonts w:hAnsi="仿宋_GB2312" w:cs="仿宋_GB2312"/>
          <w:color w:val="000000"/>
          <w:sz w:val="28"/>
          <w:szCs w:val="27"/>
        </w:rPr>
      </w:pPr>
      <w:r>
        <w:rPr>
          <w:rFonts w:hAnsi="仿宋_GB2312" w:cs="仿宋_GB2312"/>
          <w:color w:val="000000"/>
          <w:sz w:val="28"/>
          <w:szCs w:val="27"/>
        </w:rPr>
        <w:t>（3）综合评价。根据评价工作方案确定的评价指标、评价权重、评价标准和评价方法，对评价对象的情况进行全面的定量定性分析和综合评价，形成评价结论。</w:t>
      </w:r>
    </w:p>
    <w:p>
      <w:pPr>
        <w:pStyle w:val="5"/>
        <w:ind w:firstLine="562"/>
      </w:pPr>
      <w:r>
        <w:t>3.报告撰写阶段</w:t>
      </w:r>
    </w:p>
    <w:p>
      <w:pPr>
        <w:pStyle w:val="18"/>
        <w:widowControl/>
        <w:spacing w:beforeAutospacing="0" w:afterAutospacing="0"/>
        <w:ind w:firstLine="560"/>
        <w:jc w:val="both"/>
        <w:rPr>
          <w:rFonts w:hAnsi="仿宋_GB2312" w:cs="仿宋_GB2312"/>
          <w:color w:val="000000"/>
          <w:sz w:val="28"/>
          <w:szCs w:val="27"/>
        </w:rPr>
      </w:pPr>
      <w:r>
        <w:rPr>
          <w:rFonts w:hAnsi="仿宋_GB2312" w:cs="仿宋_GB2312"/>
          <w:color w:val="000000"/>
          <w:sz w:val="28"/>
          <w:szCs w:val="27"/>
        </w:rPr>
        <w:t>（1）撰写评价报告。根据被评价单位的绩效评价情况，按要求撰写绩效评价报告。</w:t>
      </w:r>
    </w:p>
    <w:p>
      <w:pPr>
        <w:pStyle w:val="18"/>
        <w:widowControl/>
        <w:spacing w:beforeAutospacing="0" w:afterAutospacing="0"/>
        <w:ind w:firstLine="560"/>
        <w:jc w:val="both"/>
        <w:rPr>
          <w:rFonts w:hAnsi="仿宋_GB2312" w:cs="仿宋_GB2312"/>
          <w:color w:val="000000"/>
          <w:sz w:val="28"/>
          <w:szCs w:val="27"/>
        </w:rPr>
      </w:pPr>
      <w:r>
        <w:rPr>
          <w:rFonts w:hAnsi="仿宋_GB2312" w:cs="仿宋_GB2312"/>
          <w:color w:val="000000"/>
          <w:sz w:val="28"/>
          <w:szCs w:val="27"/>
        </w:rPr>
        <w:t>（2）与被评价部门（单位）交换意见。与被评价部门（单位）交换意见后，对报告进行修改完善，形成评价结论，将评价报告报送</w:t>
      </w:r>
      <w:r>
        <w:rPr>
          <w:rFonts w:hint="eastAsia" w:hAnsi="仿宋_GB2312" w:cs="仿宋_GB2312"/>
          <w:color w:val="000000"/>
          <w:sz w:val="28"/>
          <w:szCs w:val="27"/>
        </w:rPr>
        <w:t>宁武县财政局</w:t>
      </w:r>
      <w:r>
        <w:rPr>
          <w:rFonts w:hAnsi="仿宋_GB2312" w:cs="仿宋_GB2312"/>
          <w:color w:val="000000"/>
          <w:sz w:val="28"/>
          <w:szCs w:val="27"/>
        </w:rPr>
        <w:t>审核。根据</w:t>
      </w:r>
      <w:r>
        <w:rPr>
          <w:rFonts w:hint="eastAsia" w:hAnsi="仿宋_GB2312" w:cs="仿宋_GB2312"/>
          <w:color w:val="000000"/>
          <w:sz w:val="28"/>
          <w:szCs w:val="27"/>
        </w:rPr>
        <w:t>被评价单位</w:t>
      </w:r>
      <w:r>
        <w:rPr>
          <w:rFonts w:hAnsi="仿宋_GB2312" w:cs="仿宋_GB2312"/>
          <w:color w:val="000000"/>
          <w:sz w:val="28"/>
          <w:szCs w:val="27"/>
        </w:rPr>
        <w:t>意见进一步完善、修改绩效评价报告，并提交正式绩效评价报告。</w:t>
      </w:r>
    </w:p>
    <w:p>
      <w:pPr>
        <w:pStyle w:val="3"/>
        <w:ind w:firstLine="560"/>
      </w:pPr>
      <w:bookmarkStart w:id="52" w:name="_Toc31727"/>
      <w:r>
        <w:rPr>
          <w:rFonts w:hint="eastAsia"/>
        </w:rPr>
        <w:t>三、综合评价情况及评价结论</w:t>
      </w:r>
      <w:bookmarkEnd w:id="51"/>
      <w:bookmarkEnd w:id="52"/>
    </w:p>
    <w:p>
      <w:pPr>
        <w:pStyle w:val="4"/>
        <w:ind w:firstLine="560"/>
      </w:pPr>
      <w:bookmarkStart w:id="53" w:name="_Toc29239"/>
      <w:bookmarkStart w:id="54" w:name="_Toc8214"/>
      <w:bookmarkStart w:id="55" w:name="_Toc14027"/>
      <w:bookmarkStart w:id="56" w:name="_Toc2544"/>
      <w:r>
        <w:rPr>
          <w:rFonts w:hint="eastAsia"/>
        </w:rPr>
        <w:t>（一）</w:t>
      </w:r>
      <w:bookmarkEnd w:id="53"/>
      <w:bookmarkEnd w:id="54"/>
      <w:bookmarkEnd w:id="55"/>
      <w:bookmarkEnd w:id="56"/>
      <w:r>
        <w:rPr>
          <w:rFonts w:hint="eastAsia"/>
        </w:rPr>
        <w:t>综合评价情况</w:t>
      </w:r>
    </w:p>
    <w:p>
      <w:pPr>
        <w:ind w:firstLine="560"/>
      </w:pPr>
      <w:r>
        <w:rPr>
          <w:rFonts w:hint="eastAsia"/>
        </w:rPr>
        <w:t>本次评价以2021年9月30日为评价基准日，采用比较法、综合指数评价法和公众评判法进行绩效评价，对汾河河道治理项目实施了现场核查、对比分析、指标评分、报告撰写等必要的评价程序，最终结果详见表3-1。</w:t>
      </w:r>
    </w:p>
    <w:p>
      <w:pPr>
        <w:ind w:firstLine="560"/>
      </w:pPr>
      <w:r>
        <w:rPr>
          <w:rFonts w:hint="eastAsia"/>
        </w:rPr>
        <w:t>宁武县汾河河道治理项目2020年专项资金绩效评价得分为71.43分，评价等级为“中”。</w:t>
      </w:r>
    </w:p>
    <w:p>
      <w:pPr>
        <w:ind w:firstLine="0" w:firstLineChars="0"/>
        <w:jc w:val="center"/>
        <w:rPr>
          <w:rFonts w:ascii="宋体" w:hAnsi="宋体" w:eastAsia="宋体" w:cs="黑体"/>
          <w:kern w:val="0"/>
          <w:szCs w:val="28"/>
        </w:rPr>
      </w:pPr>
      <w:r>
        <w:rPr>
          <w:rFonts w:hint="eastAsia" w:ascii="宋体" w:hAnsi="宋体" w:eastAsia="宋体" w:cs="黑体"/>
          <w:kern w:val="0"/>
          <w:szCs w:val="28"/>
        </w:rPr>
        <w:t>表3-1 项目总体绩效评价评分表</w:t>
      </w:r>
    </w:p>
    <w:tbl>
      <w:tblPr>
        <w:tblStyle w:val="21"/>
        <w:tblW w:w="4577"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48"/>
        <w:gridCol w:w="2049"/>
        <w:gridCol w:w="2049"/>
        <w:gridCol w:w="2051"/>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338"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一级指标</w:t>
            </w:r>
          </w:p>
        </w:tc>
        <w:tc>
          <w:tcPr>
            <w:tcW w:w="1220"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权重</w:t>
            </w:r>
          </w:p>
        </w:tc>
        <w:tc>
          <w:tcPr>
            <w:tcW w:w="1220"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w:t>
            </w:r>
          </w:p>
        </w:tc>
        <w:tc>
          <w:tcPr>
            <w:tcW w:w="1221" w:type="pct"/>
            <w:shd w:val="clear" w:color="auto" w:fill="BEBEBE"/>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决策</w:t>
            </w:r>
          </w:p>
        </w:tc>
        <w:tc>
          <w:tcPr>
            <w:tcW w:w="2049"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2049"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16</w:t>
            </w:r>
          </w:p>
        </w:tc>
        <w:tc>
          <w:tcPr>
            <w:tcW w:w="2051" w:type="dxa"/>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80%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过程</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14.50</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72.50%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产出</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23.43</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78.10%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效益</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17.50</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58.33%</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8"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合计</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71.43</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71.43%</w:t>
            </w:r>
          </w:p>
        </w:tc>
      </w:tr>
    </w:tbl>
    <w:p>
      <w:pPr>
        <w:pStyle w:val="4"/>
        <w:spacing w:before="190" w:beforeLines="50"/>
        <w:ind w:firstLine="560"/>
      </w:pPr>
      <w:bookmarkStart w:id="57" w:name="_Toc26844"/>
      <w:bookmarkStart w:id="58" w:name="_Toc10885"/>
      <w:bookmarkStart w:id="59" w:name="_Toc10992"/>
      <w:bookmarkStart w:id="60" w:name="_Toc454"/>
      <w:r>
        <w:rPr>
          <w:rFonts w:hint="eastAsia"/>
        </w:rPr>
        <w:t>（二）评价结论</w:t>
      </w:r>
      <w:bookmarkEnd w:id="57"/>
      <w:bookmarkEnd w:id="58"/>
      <w:bookmarkEnd w:id="59"/>
      <w:bookmarkEnd w:id="60"/>
    </w:p>
    <w:p>
      <w:pPr>
        <w:ind w:firstLine="560"/>
      </w:pPr>
      <w:r>
        <w:rPr>
          <w:rFonts w:hint="eastAsia"/>
        </w:rPr>
        <w:t>宁武县汾河河道治理项目立项依据充分，专项资金保障落实情况良好，项目申报规范。</w:t>
      </w:r>
      <w:r>
        <w:rPr>
          <w:rFonts w:hint="eastAsia" w:cs="仿宋"/>
          <w:color w:val="000000"/>
          <w:kern w:val="0"/>
        </w:rPr>
        <w:t>总体而言，</w:t>
      </w:r>
      <w:r>
        <w:rPr>
          <w:rFonts w:hint="eastAsia"/>
        </w:rPr>
        <w:t>汾河河道治理项目资金</w:t>
      </w:r>
      <w:r>
        <w:rPr>
          <w:rFonts w:hint="eastAsia" w:cs="仿宋"/>
          <w:color w:val="000000"/>
          <w:kern w:val="0"/>
        </w:rPr>
        <w:t>基本取得了良好的社会效益和可持续影响，但某些方面仍存在一定的问题和不足</w:t>
      </w:r>
      <w:r>
        <w:rPr>
          <w:rFonts w:hint="eastAsia"/>
        </w:rPr>
        <w:t>。</w:t>
      </w:r>
    </w:p>
    <w:p>
      <w:pPr>
        <w:ind w:firstLine="560"/>
      </w:pPr>
      <w:r>
        <w:rPr>
          <w:rFonts w:hint="eastAsia" w:cs="Times New Roman"/>
          <w:bCs/>
        </w:rPr>
        <w:t>项目决策方面：</w:t>
      </w:r>
      <w:r>
        <w:rPr>
          <w:rFonts w:hint="eastAsia"/>
        </w:rPr>
        <w:t>宁武县汾河河道治理项目</w:t>
      </w:r>
      <w:r>
        <w:rPr>
          <w:rFonts w:hint="eastAsia"/>
          <w:szCs w:val="28"/>
        </w:rPr>
        <w:t>立项依据充分，</w:t>
      </w:r>
      <w:r>
        <w:rPr>
          <w:rFonts w:hint="eastAsia"/>
        </w:rPr>
        <w:t>立项程序规范；预算编制科学合理，资金分配合理；绩效目标划分成三级绩效指标，但其指标设置不够细化、较为笼统，不能够反映项目主要情况。</w:t>
      </w:r>
    </w:p>
    <w:p>
      <w:pPr>
        <w:ind w:firstLine="560"/>
        <w:rPr>
          <w:lang w:val="zh-CN"/>
        </w:rPr>
      </w:pPr>
      <w:r>
        <w:rPr>
          <w:rFonts w:hint="eastAsia" w:cs="Times New Roman"/>
          <w:bCs/>
        </w:rPr>
        <w:t>项目过程方面：</w:t>
      </w:r>
      <w:r>
        <w:rPr>
          <w:rFonts w:hint="eastAsia"/>
        </w:rPr>
        <w:t>宁武县汾河河道治理项目</w:t>
      </w:r>
      <w:r>
        <w:rPr>
          <w:rFonts w:hint="eastAsia"/>
          <w:szCs w:val="28"/>
        </w:rPr>
        <w:t>资金到位率100%，预算执行率100%，资金使用合规，项目管理制度健全；但是项目</w:t>
      </w:r>
      <w:r>
        <w:rPr>
          <w:rFonts w:hint="eastAsia"/>
        </w:rPr>
        <w:t>初步设计编制滞后，</w:t>
      </w:r>
      <w:r>
        <w:rPr>
          <w:rFonts w:hint="eastAsia" w:cs="Times New Roman"/>
          <w:bCs/>
        </w:rPr>
        <w:t>项目结算方式与合同约定不符、</w:t>
      </w:r>
      <w:r>
        <w:rPr>
          <w:rFonts w:hint="eastAsia"/>
          <w:lang w:val="zh-CN"/>
        </w:rPr>
        <w:t>项目</w:t>
      </w:r>
      <w:r>
        <w:rPr>
          <w:rFonts w:hint="eastAsia"/>
        </w:rPr>
        <w:t>无</w:t>
      </w:r>
      <w:r>
        <w:rPr>
          <w:rFonts w:hint="eastAsia"/>
          <w:lang w:val="zh-CN"/>
        </w:rPr>
        <w:t>验收资料、</w:t>
      </w:r>
      <w:r>
        <w:rPr>
          <w:rFonts w:hint="eastAsia"/>
        </w:rPr>
        <w:t>资金档案管理不规范、项目投资额调整</w:t>
      </w:r>
      <w:r>
        <w:rPr>
          <w:rFonts w:hint="eastAsia" w:cs="Times New Roman"/>
          <w:bCs/>
        </w:rPr>
        <w:t>等情况。</w:t>
      </w:r>
    </w:p>
    <w:p>
      <w:pPr>
        <w:ind w:firstLine="560"/>
      </w:pPr>
      <w:r>
        <w:rPr>
          <w:rFonts w:hint="eastAsia"/>
        </w:rPr>
        <w:t>项目产出方面：截至绩效评价基准日，</w:t>
      </w:r>
      <w:r>
        <w:rPr>
          <w:rFonts w:hint="eastAsia"/>
          <w:szCs w:val="28"/>
        </w:rPr>
        <w:t>宁武县汾河沿线湿地治理项目</w:t>
      </w:r>
      <w:r>
        <w:rPr>
          <w:rFonts w:hint="eastAsia"/>
        </w:rPr>
        <w:t>完工项目比重占94.30%，项目成本控制良好；项目进行了分部工程验收，但未提供验收报告。</w:t>
      </w:r>
    </w:p>
    <w:p>
      <w:pPr>
        <w:ind w:firstLine="560"/>
        <w:rPr>
          <w:rFonts w:cs="仿宋"/>
          <w:color w:val="303130"/>
          <w:shd w:val="clear" w:color="auto" w:fill="FFFFFF"/>
        </w:rPr>
      </w:pPr>
      <w:r>
        <w:rPr>
          <w:rFonts w:hint="eastAsia"/>
        </w:rPr>
        <w:t>项目效益方面：通过河道疏浚和整治，修复河道自然形态，提高河道行洪能力，提高了该地区生态景观；就该项目已完工工程，受益</w:t>
      </w:r>
      <w:r>
        <w:rPr>
          <w:rFonts w:hint="eastAsia"/>
          <w:lang w:val="zh-CN"/>
        </w:rPr>
        <w:t>群众满意度达9</w:t>
      </w:r>
      <w:r>
        <w:rPr>
          <w:rFonts w:hint="eastAsia"/>
        </w:rPr>
        <w:t>0</w:t>
      </w:r>
      <w:r>
        <w:rPr>
          <w:rFonts w:hint="eastAsia"/>
          <w:lang w:val="zh-CN"/>
        </w:rPr>
        <w:t>%以上；</w:t>
      </w:r>
      <w:r>
        <w:rPr>
          <w:rFonts w:hint="eastAsia"/>
        </w:rPr>
        <w:t>堤坝的修建提高了防洪效益，但未制定后期管护制度、明确管护主体；智慧流域平台已建设完成，但未运行。</w:t>
      </w:r>
    </w:p>
    <w:p>
      <w:pPr>
        <w:pStyle w:val="3"/>
        <w:ind w:firstLine="560"/>
      </w:pPr>
      <w:bookmarkStart w:id="61" w:name="_Toc11206"/>
      <w:bookmarkStart w:id="62" w:name="_Toc23142"/>
      <w:r>
        <w:rPr>
          <w:rFonts w:hint="eastAsia"/>
          <w:lang w:val="en-US" w:eastAsia="zh-CN"/>
        </w:rPr>
        <w:t>四</w:t>
      </w:r>
      <w:r>
        <w:rPr>
          <w:rFonts w:hint="eastAsia"/>
        </w:rPr>
        <w:t>、存在的问题</w:t>
      </w:r>
      <w:bookmarkEnd w:id="61"/>
      <w:bookmarkEnd w:id="62"/>
    </w:p>
    <w:p>
      <w:pPr>
        <w:pStyle w:val="4"/>
        <w:ind w:firstLine="560"/>
      </w:pPr>
      <w:bookmarkStart w:id="63" w:name="_Toc29212"/>
      <w:bookmarkStart w:id="64" w:name="_Toc25386"/>
      <w:bookmarkStart w:id="65" w:name="_Toc17320"/>
      <w:r>
        <w:rPr>
          <w:rFonts w:hint="eastAsia"/>
        </w:rPr>
        <w:t>（一）</w:t>
      </w:r>
      <w:bookmarkEnd w:id="63"/>
      <w:bookmarkEnd w:id="64"/>
      <w:r>
        <w:rPr>
          <w:rFonts w:hint="eastAsia"/>
        </w:rPr>
        <w:t>绩效指标未细化，绩效管理能力不足</w:t>
      </w:r>
      <w:bookmarkEnd w:id="65"/>
    </w:p>
    <w:p>
      <w:pPr>
        <w:ind w:firstLine="560"/>
        <w:rPr>
          <w:rFonts w:hAnsi="仿宋_GB2312" w:cs="仿宋_GB2312"/>
        </w:rPr>
      </w:pPr>
      <w:r>
        <w:rPr>
          <w:rFonts w:hint="eastAsia" w:hAnsi="仿宋_GB2312" w:cs="仿宋_GB2312"/>
        </w:rPr>
        <w:t>绩效评价的依据是被批复的预算，而绩效目标是预算绩效管理的基础。绩效评价组调研分析发现，该项目实施前，仅制定了总体绩效目标，未对总体绩效目标进行细化，未设立具体的、可量化的绩效指标。阶段性目标不明确，不利于项目实施过程中的跟踪检查。</w:t>
      </w:r>
    </w:p>
    <w:p>
      <w:pPr>
        <w:pStyle w:val="4"/>
        <w:ind w:firstLine="560"/>
      </w:pPr>
      <w:bookmarkStart w:id="66" w:name="_Toc8859"/>
      <w:bookmarkStart w:id="67" w:name="_Toc15870"/>
      <w:r>
        <w:rPr>
          <w:rFonts w:hint="eastAsia"/>
        </w:rPr>
        <w:t>（二）</w:t>
      </w:r>
      <w:bookmarkEnd w:id="66"/>
      <w:r>
        <w:rPr>
          <w:rFonts w:hint="eastAsia"/>
        </w:rPr>
        <w:t>档案管理不规范</w:t>
      </w:r>
      <w:bookmarkEnd w:id="67"/>
    </w:p>
    <w:p>
      <w:pPr>
        <w:pStyle w:val="2"/>
        <w:spacing w:before="0"/>
        <w:ind w:firstLine="560"/>
        <w:rPr>
          <w:rFonts w:ascii="仿宋_GB2312" w:hAnsi="仿宋_GB2312" w:eastAsia="仿宋_GB2312" w:cs="仿宋_GB2312"/>
          <w:szCs w:val="24"/>
        </w:rPr>
      </w:pPr>
      <w:r>
        <w:rPr>
          <w:rFonts w:hint="eastAsia" w:ascii="仿宋_GB2312" w:hAnsi="仿宋_GB2312" w:eastAsia="仿宋_GB2312" w:cs="仿宋_GB2312"/>
          <w:szCs w:val="24"/>
        </w:rPr>
        <w:t>评价组在评价过程中，发现项目单位提供的财务资料，仅有国库集中支付凭证，无项目资金收支审批资料、付款申请表、工程进度款报审表、合同等附件，不符合《关于印发&lt;忻州市汾河中上游山水林田湖草生态保护工程试点项目管理办法（试行）&gt;的通知》（忻汾试组〔2019〕6号）文件关于项目资金档案管理的规定。</w:t>
      </w:r>
    </w:p>
    <w:p>
      <w:pPr>
        <w:pStyle w:val="4"/>
        <w:ind w:firstLine="560"/>
      </w:pPr>
      <w:bookmarkStart w:id="68" w:name="_Toc18442"/>
      <w:bookmarkStart w:id="69" w:name="_Toc3292"/>
      <w:r>
        <w:rPr>
          <w:rFonts w:hint="eastAsia"/>
        </w:rPr>
        <w:t>（三）</w:t>
      </w:r>
      <w:bookmarkEnd w:id="68"/>
      <w:r>
        <w:rPr>
          <w:rFonts w:hint="eastAsia"/>
        </w:rPr>
        <w:t>初步设计不及时</w:t>
      </w:r>
      <w:bookmarkEnd w:id="69"/>
    </w:p>
    <w:p>
      <w:pPr>
        <w:pStyle w:val="2"/>
        <w:spacing w:before="0"/>
        <w:ind w:firstLine="560"/>
        <w:rPr>
          <w:rFonts w:ascii="仿宋_GB2312" w:hAnsi="仿宋_GB2312" w:eastAsia="仿宋_GB2312" w:cs="仿宋_GB2312"/>
          <w:szCs w:val="24"/>
        </w:rPr>
      </w:pPr>
      <w:r>
        <w:rPr>
          <w:rFonts w:hint="eastAsia" w:ascii="仿宋_GB2312" w:hAnsi="仿宋_GB2312" w:eastAsia="仿宋_GB2312" w:cs="仿宋_GB2312"/>
          <w:szCs w:val="24"/>
        </w:rPr>
        <w:t>根据项目单位提供的资料，发现汾河河道治理项目可行性研究报告在2019年11月得到批复后，汾河治理事务中心即开展了对该项目施工单位、监理单位的招投标工作，于2020年3月签订了施工合同、监理合同，并于2020年3月28日开工。项目初步设计报告于2020年5月完成编制，并在当月月底审批通过。项目先施工后设计或边施工变设计，难以合理确定工程投资，增加了项目风险，影响项目的顺利实施。</w:t>
      </w:r>
    </w:p>
    <w:p>
      <w:pPr>
        <w:pStyle w:val="3"/>
        <w:ind w:firstLine="560"/>
      </w:pPr>
      <w:bookmarkStart w:id="70" w:name="_Toc1551"/>
      <w:bookmarkStart w:id="71" w:name="_Toc11946"/>
      <w:r>
        <w:rPr>
          <w:rFonts w:hint="eastAsia"/>
          <w:lang w:val="en-US" w:eastAsia="zh-CN"/>
        </w:rPr>
        <w:t>五</w:t>
      </w:r>
      <w:r>
        <w:rPr>
          <w:rFonts w:hint="eastAsia"/>
        </w:rPr>
        <w:t>、有关建议</w:t>
      </w:r>
      <w:bookmarkEnd w:id="70"/>
      <w:bookmarkEnd w:id="71"/>
    </w:p>
    <w:p>
      <w:pPr>
        <w:pStyle w:val="4"/>
        <w:ind w:firstLine="560"/>
      </w:pPr>
      <w:bookmarkStart w:id="72" w:name="_Toc23291"/>
      <w:bookmarkStart w:id="73" w:name="_Toc17135"/>
      <w:bookmarkStart w:id="74" w:name="_Toc19136"/>
      <w:bookmarkStart w:id="75" w:name="_Toc2380"/>
      <w:r>
        <w:rPr>
          <w:rFonts w:hint="eastAsia"/>
        </w:rPr>
        <w:t>（一）</w:t>
      </w:r>
      <w:bookmarkEnd w:id="72"/>
      <w:bookmarkEnd w:id="73"/>
      <w:r>
        <w:rPr>
          <w:rFonts w:hint="eastAsia"/>
        </w:rPr>
        <w:t>完整预算绩效管理，细化绩效目标</w:t>
      </w:r>
      <w:bookmarkEnd w:id="74"/>
    </w:p>
    <w:p>
      <w:pPr>
        <w:ind w:firstLine="560"/>
        <w:rPr>
          <w:rFonts w:hAnsi="仿宋_GB2312" w:cs="仿宋_GB2312"/>
          <w:szCs w:val="28"/>
        </w:rPr>
      </w:pPr>
      <w:bookmarkStart w:id="76" w:name="_Toc1762"/>
      <w:r>
        <w:rPr>
          <w:rFonts w:hint="eastAsia" w:hAnsi="仿宋_GB2312" w:cs="仿宋_GB2312"/>
          <w:szCs w:val="28"/>
        </w:rPr>
        <w:t>进一步强化“预算编制有目标、预算执行有监控、预算完成有评价、评价结果有反馈、反馈结果有应用”的预算绩效管理机制，建议项目建设单位，</w:t>
      </w:r>
      <w:r>
        <w:rPr>
          <w:rFonts w:hint="eastAsia" w:hAnsi="仿宋_GB2312" w:cs="仿宋_GB2312"/>
        </w:rPr>
        <w:t>在项目实施前，</w:t>
      </w:r>
      <w:r>
        <w:rPr>
          <w:rFonts w:hint="eastAsia" w:hAnsi="仿宋_GB2312" w:cs="仿宋_GB2312"/>
          <w:szCs w:val="28"/>
        </w:rPr>
        <w:t>首先确立项目实施的绩效目标，并将绩效目标细化、量化，设置具体的、可度量的经济、社会效益指标。项目主管单位在审核项目绩效目标时要着重注意绩效目标是否合理、可行。针对一些实施时间跨度较长的项目要制定阶段性绩效目标，针对性地开展项目中期和后期项目自评价。</w:t>
      </w:r>
    </w:p>
    <w:p>
      <w:pPr>
        <w:pStyle w:val="4"/>
        <w:ind w:firstLine="560"/>
        <w:rPr>
          <w:highlight w:val="yellow"/>
        </w:rPr>
      </w:pPr>
      <w:bookmarkStart w:id="77" w:name="_Toc1728"/>
      <w:r>
        <w:rPr>
          <w:rFonts w:hint="eastAsia"/>
        </w:rPr>
        <w:t>（二）</w:t>
      </w:r>
      <w:bookmarkEnd w:id="75"/>
      <w:bookmarkEnd w:id="76"/>
      <w:r>
        <w:rPr>
          <w:rFonts w:hint="eastAsia"/>
        </w:rPr>
        <w:t>积极落实档案管理办法</w:t>
      </w:r>
      <w:bookmarkEnd w:id="77"/>
    </w:p>
    <w:p>
      <w:pPr>
        <w:ind w:firstLine="560"/>
        <w:rPr>
          <w:rFonts w:hAnsi="仿宋_GB2312" w:cs="仿宋_GB2312"/>
        </w:rPr>
      </w:pPr>
      <w:r>
        <w:rPr>
          <w:rFonts w:hint="eastAsia"/>
        </w:rPr>
        <w:t>档案管理水平反映单位内部资金长效化、常态化程度。建议项目单位提高档案管理意识，加强领导，规范管理，积极落实档案管理办法，按照有关规定和制度，</w:t>
      </w:r>
      <w:r>
        <w:rPr>
          <w:rFonts w:hint="eastAsia" w:hAnsi="仿宋_GB2312" w:cs="仿宋_GB2312"/>
        </w:rPr>
        <w:t>做好相关文件、材料的收集、整理、归档和保管工作，确保归档材料齐全完整，以备后期查阅。同时，建议项目单位加强内部管理，建立健全财务审批制度，明确经办人、证明人、审批人的职责。</w:t>
      </w:r>
    </w:p>
    <w:p>
      <w:pPr>
        <w:pStyle w:val="4"/>
        <w:ind w:firstLine="560"/>
      </w:pPr>
      <w:bookmarkStart w:id="78" w:name="_Toc27955"/>
      <w:bookmarkStart w:id="79" w:name="_Toc9144"/>
      <w:r>
        <w:rPr>
          <w:rFonts w:hint="eastAsia"/>
        </w:rPr>
        <w:t>（三）</w:t>
      </w:r>
      <w:bookmarkEnd w:id="78"/>
      <w:r>
        <w:rPr>
          <w:rFonts w:hint="eastAsia"/>
        </w:rPr>
        <w:t>及时进行初步设计，合理控制投资规模</w:t>
      </w:r>
      <w:bookmarkEnd w:id="79"/>
    </w:p>
    <w:p>
      <w:pPr>
        <w:ind w:firstLine="560"/>
      </w:pPr>
      <w:bookmarkStart w:id="80" w:name="_Toc15472"/>
      <w:r>
        <w:rPr>
          <w:rFonts w:hint="eastAsia"/>
        </w:rPr>
        <w:t>项目前期工作是项目建设的必备条件，能有效指导未来工作的开展，初步设计主要是按照批准的总概算控制施工图设计。建议项目单位提高对初步设计工作的重视，积极推进项目初步设计方案的编制，将批准的总概算和工程量详细分解到各单位工程和分部工程，严格控制技术设计和施工图设计，避免出现边施工边设计、先施工后设计的现象，为投资决策提供科学依据。</w:t>
      </w:r>
    </w:p>
    <w:bookmarkEnd w:id="80"/>
    <w:p>
      <w:pPr>
        <w:ind w:firstLine="560"/>
        <w:rPr>
          <w:rFonts w:hAnsi="仿宋_GB2312" w:cs="仿宋_GB2312"/>
        </w:rPr>
      </w:pPr>
    </w:p>
    <w:p>
      <w:pPr>
        <w:overflowPunct w:val="0"/>
        <w:ind w:firstLine="560"/>
        <w:rPr>
          <w:rFonts w:hAnsi="仿宋_GB2312" w:cs="仿宋_GB2312"/>
          <w:szCs w:val="28"/>
        </w:rPr>
      </w:pPr>
      <w:bookmarkStart w:id="81" w:name="_GoBack"/>
      <w:bookmarkEnd w:id="81"/>
    </w:p>
    <w:sectPr>
      <w:headerReference r:id="rId7" w:type="default"/>
      <w:footerReference r:id="rId8" w:type="default"/>
      <w:pgSz w:w="11906" w:h="16838"/>
      <w:pgMar w:top="2041" w:right="1418" w:bottom="1418" w:left="1531" w:header="851" w:footer="992" w:gutter="0"/>
      <w:pgBorders>
        <w:top w:val="none" w:sz="0" w:space="0"/>
        <w:left w:val="none" w:sz="0" w:space="0"/>
        <w:bottom w:val="none" w:sz="0" w:space="0"/>
        <w:right w:val="none" w:sz="0" w:space="0"/>
      </w:pgBorders>
      <w:pgNumType w:fmt="decimal"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both"/>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0" w:firstLineChars="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2</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0" w:firstLineChars="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2</w:t>
                    </w:r>
                    <w:r>
                      <w:rPr>
                        <w:rFonts w:hint="eastAsia"/>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spacing w:line="240" w:lineRule="auto"/>
      <w:ind w:firstLine="0" w:firstLineChars="0"/>
      <w:rPr>
        <w:rFonts w:hint="eastAsia" w:ascii="宋体" w:hAnsi="宋体" w:eastAsia="宋体" w:cs="宋体"/>
        <w:bCs/>
        <w:sz w:val="22"/>
        <w:szCs w:val="22"/>
      </w:rPr>
    </w:pPr>
    <w:r>
      <w:rPr>
        <w:rFonts w:hint="eastAsia" w:ascii="宋体" w:hAnsi="宋体" w:eastAsia="宋体" w:cs="宋体"/>
        <w:sz w:val="22"/>
        <w:szCs w:val="22"/>
      </w:rPr>
      <w:drawing>
        <wp:inline distT="0" distB="0" distL="114300" distR="114300">
          <wp:extent cx="240665" cy="2406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bCs/>
        <w:sz w:val="22"/>
        <w:szCs w:val="22"/>
      </w:rPr>
      <w:t>宁武县汾河河道治理项目资金绩效评价报告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OGVmMDljNzk5ZGMwYjQ4ZmEwMTM4ODM0MWVkMGMifQ=="/>
  </w:docVars>
  <w:rsids>
    <w:rsidRoot w:val="045B591B"/>
    <w:rsid w:val="00006912"/>
    <w:rsid w:val="00010A3A"/>
    <w:rsid w:val="00012B1B"/>
    <w:rsid w:val="00021C0E"/>
    <w:rsid w:val="000222D3"/>
    <w:rsid w:val="000315DA"/>
    <w:rsid w:val="00036A11"/>
    <w:rsid w:val="0004477F"/>
    <w:rsid w:val="000517F0"/>
    <w:rsid w:val="00056876"/>
    <w:rsid w:val="00062AF5"/>
    <w:rsid w:val="0006604B"/>
    <w:rsid w:val="000834A4"/>
    <w:rsid w:val="000834CC"/>
    <w:rsid w:val="000914A4"/>
    <w:rsid w:val="00091D89"/>
    <w:rsid w:val="00094E6A"/>
    <w:rsid w:val="000A0F07"/>
    <w:rsid w:val="000A1ECB"/>
    <w:rsid w:val="000A624F"/>
    <w:rsid w:val="000B034A"/>
    <w:rsid w:val="000B157A"/>
    <w:rsid w:val="000B5F6D"/>
    <w:rsid w:val="000C007F"/>
    <w:rsid w:val="000C1A89"/>
    <w:rsid w:val="000E434A"/>
    <w:rsid w:val="000F3817"/>
    <w:rsid w:val="000F3BB1"/>
    <w:rsid w:val="00100CB5"/>
    <w:rsid w:val="00115EF8"/>
    <w:rsid w:val="001315A6"/>
    <w:rsid w:val="00131E6C"/>
    <w:rsid w:val="00133F71"/>
    <w:rsid w:val="0014033F"/>
    <w:rsid w:val="00143C65"/>
    <w:rsid w:val="00154E49"/>
    <w:rsid w:val="00157662"/>
    <w:rsid w:val="001603A3"/>
    <w:rsid w:val="00160E3E"/>
    <w:rsid w:val="0016167E"/>
    <w:rsid w:val="00163E85"/>
    <w:rsid w:val="00183AAC"/>
    <w:rsid w:val="001872CE"/>
    <w:rsid w:val="00192BFA"/>
    <w:rsid w:val="001A11F0"/>
    <w:rsid w:val="001B07EB"/>
    <w:rsid w:val="001B10E0"/>
    <w:rsid w:val="001B11C4"/>
    <w:rsid w:val="001C4CFC"/>
    <w:rsid w:val="001C4D92"/>
    <w:rsid w:val="001C7B79"/>
    <w:rsid w:val="001D091E"/>
    <w:rsid w:val="001D183B"/>
    <w:rsid w:val="001D18E2"/>
    <w:rsid w:val="001D2616"/>
    <w:rsid w:val="001D5145"/>
    <w:rsid w:val="001D75BD"/>
    <w:rsid w:val="001E1917"/>
    <w:rsid w:val="001E25C9"/>
    <w:rsid w:val="001E2F93"/>
    <w:rsid w:val="001E77FD"/>
    <w:rsid w:val="001F3423"/>
    <w:rsid w:val="00202BD0"/>
    <w:rsid w:val="00205E1E"/>
    <w:rsid w:val="002106DA"/>
    <w:rsid w:val="002310AD"/>
    <w:rsid w:val="00231172"/>
    <w:rsid w:val="002329BC"/>
    <w:rsid w:val="00235D8D"/>
    <w:rsid w:val="0023683B"/>
    <w:rsid w:val="00237FEE"/>
    <w:rsid w:val="002578A9"/>
    <w:rsid w:val="00260166"/>
    <w:rsid w:val="00261872"/>
    <w:rsid w:val="0026412F"/>
    <w:rsid w:val="002649D5"/>
    <w:rsid w:val="0026752D"/>
    <w:rsid w:val="002716E2"/>
    <w:rsid w:val="00271A90"/>
    <w:rsid w:val="00274DF8"/>
    <w:rsid w:val="00277D91"/>
    <w:rsid w:val="00285B4B"/>
    <w:rsid w:val="002970F7"/>
    <w:rsid w:val="00297BA3"/>
    <w:rsid w:val="002A09AF"/>
    <w:rsid w:val="002A0A3A"/>
    <w:rsid w:val="002A13D3"/>
    <w:rsid w:val="002A458E"/>
    <w:rsid w:val="002A79B6"/>
    <w:rsid w:val="002B0188"/>
    <w:rsid w:val="002B450B"/>
    <w:rsid w:val="002B54BA"/>
    <w:rsid w:val="002C7F23"/>
    <w:rsid w:val="002D2D70"/>
    <w:rsid w:val="002D44A7"/>
    <w:rsid w:val="002D6C88"/>
    <w:rsid w:val="002E5296"/>
    <w:rsid w:val="00302584"/>
    <w:rsid w:val="00303D36"/>
    <w:rsid w:val="00306C19"/>
    <w:rsid w:val="00312A55"/>
    <w:rsid w:val="00314F7D"/>
    <w:rsid w:val="00334972"/>
    <w:rsid w:val="003375E8"/>
    <w:rsid w:val="00337AC8"/>
    <w:rsid w:val="00341B8F"/>
    <w:rsid w:val="00343908"/>
    <w:rsid w:val="003478BF"/>
    <w:rsid w:val="00351D83"/>
    <w:rsid w:val="00353128"/>
    <w:rsid w:val="003640C4"/>
    <w:rsid w:val="00364D7F"/>
    <w:rsid w:val="00366A66"/>
    <w:rsid w:val="00367CC1"/>
    <w:rsid w:val="0037069F"/>
    <w:rsid w:val="0037252D"/>
    <w:rsid w:val="00386B4F"/>
    <w:rsid w:val="00396B40"/>
    <w:rsid w:val="003A2DDC"/>
    <w:rsid w:val="003B5494"/>
    <w:rsid w:val="00401695"/>
    <w:rsid w:val="00407541"/>
    <w:rsid w:val="0041637D"/>
    <w:rsid w:val="00416C2B"/>
    <w:rsid w:val="00426C5D"/>
    <w:rsid w:val="00431F83"/>
    <w:rsid w:val="00432E1F"/>
    <w:rsid w:val="00433362"/>
    <w:rsid w:val="00445602"/>
    <w:rsid w:val="00451DC4"/>
    <w:rsid w:val="00462532"/>
    <w:rsid w:val="00462CEA"/>
    <w:rsid w:val="00467B7D"/>
    <w:rsid w:val="00476F72"/>
    <w:rsid w:val="00494EDB"/>
    <w:rsid w:val="004B3B0E"/>
    <w:rsid w:val="004C3DAB"/>
    <w:rsid w:val="004C7119"/>
    <w:rsid w:val="004D028B"/>
    <w:rsid w:val="004D5CEE"/>
    <w:rsid w:val="004E0F4D"/>
    <w:rsid w:val="004E3A10"/>
    <w:rsid w:val="004F2349"/>
    <w:rsid w:val="00506DD0"/>
    <w:rsid w:val="00511A92"/>
    <w:rsid w:val="00512C1F"/>
    <w:rsid w:val="00514907"/>
    <w:rsid w:val="00516155"/>
    <w:rsid w:val="005173BA"/>
    <w:rsid w:val="00532734"/>
    <w:rsid w:val="00537C23"/>
    <w:rsid w:val="00541DCF"/>
    <w:rsid w:val="00547489"/>
    <w:rsid w:val="00551AE0"/>
    <w:rsid w:val="00554F8B"/>
    <w:rsid w:val="00564076"/>
    <w:rsid w:val="00565E91"/>
    <w:rsid w:val="005904F5"/>
    <w:rsid w:val="00590B29"/>
    <w:rsid w:val="005A2848"/>
    <w:rsid w:val="005A66B5"/>
    <w:rsid w:val="005B0735"/>
    <w:rsid w:val="005B3453"/>
    <w:rsid w:val="005C08EC"/>
    <w:rsid w:val="005C5ED9"/>
    <w:rsid w:val="005C6EFC"/>
    <w:rsid w:val="005D3582"/>
    <w:rsid w:val="005E0354"/>
    <w:rsid w:val="005E1F86"/>
    <w:rsid w:val="005E4410"/>
    <w:rsid w:val="005F44F8"/>
    <w:rsid w:val="005F6B87"/>
    <w:rsid w:val="0060640C"/>
    <w:rsid w:val="006140BB"/>
    <w:rsid w:val="0062052A"/>
    <w:rsid w:val="00620A69"/>
    <w:rsid w:val="00624F61"/>
    <w:rsid w:val="00632EE5"/>
    <w:rsid w:val="00644E79"/>
    <w:rsid w:val="006546F0"/>
    <w:rsid w:val="006564D1"/>
    <w:rsid w:val="00671E24"/>
    <w:rsid w:val="00675858"/>
    <w:rsid w:val="00676D29"/>
    <w:rsid w:val="00690E23"/>
    <w:rsid w:val="006A51BD"/>
    <w:rsid w:val="006B383F"/>
    <w:rsid w:val="006B6A45"/>
    <w:rsid w:val="006C672F"/>
    <w:rsid w:val="006D0B74"/>
    <w:rsid w:val="006D3524"/>
    <w:rsid w:val="006E22E3"/>
    <w:rsid w:val="006E7982"/>
    <w:rsid w:val="006F0689"/>
    <w:rsid w:val="007018A0"/>
    <w:rsid w:val="007027D8"/>
    <w:rsid w:val="007067EF"/>
    <w:rsid w:val="00715487"/>
    <w:rsid w:val="00720DEE"/>
    <w:rsid w:val="007430FA"/>
    <w:rsid w:val="00745AAF"/>
    <w:rsid w:val="00765551"/>
    <w:rsid w:val="00772250"/>
    <w:rsid w:val="00772838"/>
    <w:rsid w:val="0077610E"/>
    <w:rsid w:val="007809B4"/>
    <w:rsid w:val="00787C8E"/>
    <w:rsid w:val="007A0987"/>
    <w:rsid w:val="007A2A48"/>
    <w:rsid w:val="007A6598"/>
    <w:rsid w:val="007A73D8"/>
    <w:rsid w:val="007B7E30"/>
    <w:rsid w:val="007C5B0D"/>
    <w:rsid w:val="007D23A8"/>
    <w:rsid w:val="007D2D6E"/>
    <w:rsid w:val="007D4510"/>
    <w:rsid w:val="007D47DE"/>
    <w:rsid w:val="007E2372"/>
    <w:rsid w:val="007E3AFE"/>
    <w:rsid w:val="007E5047"/>
    <w:rsid w:val="00800E50"/>
    <w:rsid w:val="00801F3B"/>
    <w:rsid w:val="00803961"/>
    <w:rsid w:val="008207D8"/>
    <w:rsid w:val="00821B63"/>
    <w:rsid w:val="0082374D"/>
    <w:rsid w:val="00824C18"/>
    <w:rsid w:val="00831C55"/>
    <w:rsid w:val="008474C7"/>
    <w:rsid w:val="00847C04"/>
    <w:rsid w:val="0085081C"/>
    <w:rsid w:val="008558E3"/>
    <w:rsid w:val="00866A20"/>
    <w:rsid w:val="008750CD"/>
    <w:rsid w:val="0089791D"/>
    <w:rsid w:val="00897AF9"/>
    <w:rsid w:val="008B0520"/>
    <w:rsid w:val="008B58F6"/>
    <w:rsid w:val="008C6433"/>
    <w:rsid w:val="008D2B53"/>
    <w:rsid w:val="008D68FA"/>
    <w:rsid w:val="008E143C"/>
    <w:rsid w:val="008E17B7"/>
    <w:rsid w:val="008F0B36"/>
    <w:rsid w:val="008F73D3"/>
    <w:rsid w:val="00901666"/>
    <w:rsid w:val="009066DE"/>
    <w:rsid w:val="00906C6D"/>
    <w:rsid w:val="00914885"/>
    <w:rsid w:val="00917281"/>
    <w:rsid w:val="009352EB"/>
    <w:rsid w:val="00941203"/>
    <w:rsid w:val="00942CA5"/>
    <w:rsid w:val="00956C00"/>
    <w:rsid w:val="009571B0"/>
    <w:rsid w:val="00961F96"/>
    <w:rsid w:val="00963A13"/>
    <w:rsid w:val="00967EC7"/>
    <w:rsid w:val="00974BD6"/>
    <w:rsid w:val="00975CB0"/>
    <w:rsid w:val="0097638A"/>
    <w:rsid w:val="009833F0"/>
    <w:rsid w:val="00985FCD"/>
    <w:rsid w:val="009903E4"/>
    <w:rsid w:val="0099218E"/>
    <w:rsid w:val="009973A4"/>
    <w:rsid w:val="00997736"/>
    <w:rsid w:val="009A3012"/>
    <w:rsid w:val="009B1BF3"/>
    <w:rsid w:val="009B24AB"/>
    <w:rsid w:val="009C19B7"/>
    <w:rsid w:val="009C51F2"/>
    <w:rsid w:val="009C5994"/>
    <w:rsid w:val="009D2BBC"/>
    <w:rsid w:val="009F6268"/>
    <w:rsid w:val="009F6CC6"/>
    <w:rsid w:val="00A0190A"/>
    <w:rsid w:val="00A04733"/>
    <w:rsid w:val="00A04DDB"/>
    <w:rsid w:val="00A11471"/>
    <w:rsid w:val="00A23DE2"/>
    <w:rsid w:val="00A27DD7"/>
    <w:rsid w:val="00A314FF"/>
    <w:rsid w:val="00A32359"/>
    <w:rsid w:val="00A5407B"/>
    <w:rsid w:val="00A64A7E"/>
    <w:rsid w:val="00A657CB"/>
    <w:rsid w:val="00A74714"/>
    <w:rsid w:val="00A74966"/>
    <w:rsid w:val="00A74FE4"/>
    <w:rsid w:val="00A8256E"/>
    <w:rsid w:val="00A87ED9"/>
    <w:rsid w:val="00A92839"/>
    <w:rsid w:val="00AB0D6C"/>
    <w:rsid w:val="00AB2527"/>
    <w:rsid w:val="00AB2AB7"/>
    <w:rsid w:val="00AC03A5"/>
    <w:rsid w:val="00AC3A1C"/>
    <w:rsid w:val="00AD2643"/>
    <w:rsid w:val="00B031CD"/>
    <w:rsid w:val="00B06329"/>
    <w:rsid w:val="00B0652D"/>
    <w:rsid w:val="00B13204"/>
    <w:rsid w:val="00B20BDA"/>
    <w:rsid w:val="00B2519C"/>
    <w:rsid w:val="00B433DB"/>
    <w:rsid w:val="00B44AD3"/>
    <w:rsid w:val="00B46CDF"/>
    <w:rsid w:val="00B5096A"/>
    <w:rsid w:val="00B54DDF"/>
    <w:rsid w:val="00B567AC"/>
    <w:rsid w:val="00B5686E"/>
    <w:rsid w:val="00B622D3"/>
    <w:rsid w:val="00B90FD4"/>
    <w:rsid w:val="00B978FF"/>
    <w:rsid w:val="00BA199E"/>
    <w:rsid w:val="00BB11A9"/>
    <w:rsid w:val="00BC2918"/>
    <w:rsid w:val="00BC2B66"/>
    <w:rsid w:val="00BC7480"/>
    <w:rsid w:val="00BC78DB"/>
    <w:rsid w:val="00BD5094"/>
    <w:rsid w:val="00BD669E"/>
    <w:rsid w:val="00BE58A5"/>
    <w:rsid w:val="00BF1999"/>
    <w:rsid w:val="00C0621C"/>
    <w:rsid w:val="00C12304"/>
    <w:rsid w:val="00C1499A"/>
    <w:rsid w:val="00C17ED8"/>
    <w:rsid w:val="00C21062"/>
    <w:rsid w:val="00C230B0"/>
    <w:rsid w:val="00C25204"/>
    <w:rsid w:val="00C30ADF"/>
    <w:rsid w:val="00C364A9"/>
    <w:rsid w:val="00C42CD6"/>
    <w:rsid w:val="00C4312E"/>
    <w:rsid w:val="00C557E6"/>
    <w:rsid w:val="00C56432"/>
    <w:rsid w:val="00C61564"/>
    <w:rsid w:val="00C7278E"/>
    <w:rsid w:val="00C731CC"/>
    <w:rsid w:val="00C75821"/>
    <w:rsid w:val="00C90F3B"/>
    <w:rsid w:val="00C96DA5"/>
    <w:rsid w:val="00CA4B96"/>
    <w:rsid w:val="00CB5F97"/>
    <w:rsid w:val="00CC0D4A"/>
    <w:rsid w:val="00CD4F5C"/>
    <w:rsid w:val="00CD5D63"/>
    <w:rsid w:val="00CE3616"/>
    <w:rsid w:val="00CE5FA7"/>
    <w:rsid w:val="00CF4943"/>
    <w:rsid w:val="00D039F0"/>
    <w:rsid w:val="00D079F6"/>
    <w:rsid w:val="00D114C5"/>
    <w:rsid w:val="00D17D05"/>
    <w:rsid w:val="00D205F3"/>
    <w:rsid w:val="00D268C1"/>
    <w:rsid w:val="00D41224"/>
    <w:rsid w:val="00D51E8B"/>
    <w:rsid w:val="00D651F1"/>
    <w:rsid w:val="00D6750F"/>
    <w:rsid w:val="00D71D4E"/>
    <w:rsid w:val="00D73FCA"/>
    <w:rsid w:val="00D7404A"/>
    <w:rsid w:val="00D81BB5"/>
    <w:rsid w:val="00D84892"/>
    <w:rsid w:val="00D866C0"/>
    <w:rsid w:val="00D917F4"/>
    <w:rsid w:val="00D95F0D"/>
    <w:rsid w:val="00DA33BD"/>
    <w:rsid w:val="00DA6489"/>
    <w:rsid w:val="00DA6A43"/>
    <w:rsid w:val="00DD2560"/>
    <w:rsid w:val="00DF5EB8"/>
    <w:rsid w:val="00E03A21"/>
    <w:rsid w:val="00E117A3"/>
    <w:rsid w:val="00E1312C"/>
    <w:rsid w:val="00E13CA7"/>
    <w:rsid w:val="00E23203"/>
    <w:rsid w:val="00E2451E"/>
    <w:rsid w:val="00E27801"/>
    <w:rsid w:val="00E41B03"/>
    <w:rsid w:val="00E47EBC"/>
    <w:rsid w:val="00E51605"/>
    <w:rsid w:val="00E5170E"/>
    <w:rsid w:val="00E54280"/>
    <w:rsid w:val="00E545DB"/>
    <w:rsid w:val="00E57F45"/>
    <w:rsid w:val="00E61755"/>
    <w:rsid w:val="00E6411D"/>
    <w:rsid w:val="00E70DF8"/>
    <w:rsid w:val="00E72004"/>
    <w:rsid w:val="00E73C3F"/>
    <w:rsid w:val="00E73E13"/>
    <w:rsid w:val="00E8129B"/>
    <w:rsid w:val="00E82BE8"/>
    <w:rsid w:val="00E86CE6"/>
    <w:rsid w:val="00EA008E"/>
    <w:rsid w:val="00EA04EF"/>
    <w:rsid w:val="00EA4302"/>
    <w:rsid w:val="00EA6EDE"/>
    <w:rsid w:val="00EB2035"/>
    <w:rsid w:val="00EB2639"/>
    <w:rsid w:val="00EB5648"/>
    <w:rsid w:val="00EC6640"/>
    <w:rsid w:val="00ED18B2"/>
    <w:rsid w:val="00EE2863"/>
    <w:rsid w:val="00EE46A1"/>
    <w:rsid w:val="00EE65C6"/>
    <w:rsid w:val="00F00199"/>
    <w:rsid w:val="00F02641"/>
    <w:rsid w:val="00F20F73"/>
    <w:rsid w:val="00F32407"/>
    <w:rsid w:val="00F3736A"/>
    <w:rsid w:val="00F41126"/>
    <w:rsid w:val="00F50994"/>
    <w:rsid w:val="00F50EA3"/>
    <w:rsid w:val="00F56702"/>
    <w:rsid w:val="00F61F0E"/>
    <w:rsid w:val="00F65FE9"/>
    <w:rsid w:val="00F66F9C"/>
    <w:rsid w:val="00F72DCF"/>
    <w:rsid w:val="00F77280"/>
    <w:rsid w:val="00F81CD9"/>
    <w:rsid w:val="00F83F76"/>
    <w:rsid w:val="00F84B25"/>
    <w:rsid w:val="00F853AD"/>
    <w:rsid w:val="00F864BD"/>
    <w:rsid w:val="00F92694"/>
    <w:rsid w:val="00F96D3A"/>
    <w:rsid w:val="00F97503"/>
    <w:rsid w:val="00FA6CCA"/>
    <w:rsid w:val="00FB4533"/>
    <w:rsid w:val="00FD2632"/>
    <w:rsid w:val="00FE1249"/>
    <w:rsid w:val="00FE2663"/>
    <w:rsid w:val="00FE59FB"/>
    <w:rsid w:val="00FF5935"/>
    <w:rsid w:val="00FF5D88"/>
    <w:rsid w:val="00FF7E63"/>
    <w:rsid w:val="012B1880"/>
    <w:rsid w:val="01332EDE"/>
    <w:rsid w:val="017F63C4"/>
    <w:rsid w:val="019F35D7"/>
    <w:rsid w:val="01C616A5"/>
    <w:rsid w:val="01F97172"/>
    <w:rsid w:val="02006D23"/>
    <w:rsid w:val="022D5DF4"/>
    <w:rsid w:val="02864CB8"/>
    <w:rsid w:val="02A94224"/>
    <w:rsid w:val="02A967AE"/>
    <w:rsid w:val="02AB1CA9"/>
    <w:rsid w:val="02CA3665"/>
    <w:rsid w:val="030040CA"/>
    <w:rsid w:val="03034482"/>
    <w:rsid w:val="037806E7"/>
    <w:rsid w:val="03F60714"/>
    <w:rsid w:val="041036B5"/>
    <w:rsid w:val="043A1159"/>
    <w:rsid w:val="0449278D"/>
    <w:rsid w:val="044E29D4"/>
    <w:rsid w:val="045B591B"/>
    <w:rsid w:val="047940CF"/>
    <w:rsid w:val="04891F2C"/>
    <w:rsid w:val="04B0293E"/>
    <w:rsid w:val="05136AF5"/>
    <w:rsid w:val="05560DC3"/>
    <w:rsid w:val="06350E8C"/>
    <w:rsid w:val="063B450A"/>
    <w:rsid w:val="064311C4"/>
    <w:rsid w:val="064A0F57"/>
    <w:rsid w:val="064F37BA"/>
    <w:rsid w:val="0680675E"/>
    <w:rsid w:val="06CC7BD0"/>
    <w:rsid w:val="076C7627"/>
    <w:rsid w:val="07945549"/>
    <w:rsid w:val="07DA35CF"/>
    <w:rsid w:val="07F847FE"/>
    <w:rsid w:val="080C7053"/>
    <w:rsid w:val="082B5C75"/>
    <w:rsid w:val="08484330"/>
    <w:rsid w:val="08485B98"/>
    <w:rsid w:val="08696FBF"/>
    <w:rsid w:val="08BC6372"/>
    <w:rsid w:val="08E96CA0"/>
    <w:rsid w:val="090441B5"/>
    <w:rsid w:val="09097AEB"/>
    <w:rsid w:val="092D438F"/>
    <w:rsid w:val="094A0A9C"/>
    <w:rsid w:val="09DF29DF"/>
    <w:rsid w:val="0A0821BE"/>
    <w:rsid w:val="0A3B20D9"/>
    <w:rsid w:val="0A7B7508"/>
    <w:rsid w:val="0A8127E1"/>
    <w:rsid w:val="0AA82860"/>
    <w:rsid w:val="0AC9486C"/>
    <w:rsid w:val="0AD255FA"/>
    <w:rsid w:val="0B0E1346"/>
    <w:rsid w:val="0B147357"/>
    <w:rsid w:val="0B6B4077"/>
    <w:rsid w:val="0B9969C6"/>
    <w:rsid w:val="0BA87309"/>
    <w:rsid w:val="0BE407A3"/>
    <w:rsid w:val="0C091634"/>
    <w:rsid w:val="0C1C09F4"/>
    <w:rsid w:val="0C746696"/>
    <w:rsid w:val="0D274C7E"/>
    <w:rsid w:val="0D3A3658"/>
    <w:rsid w:val="0D3D4594"/>
    <w:rsid w:val="0D491E00"/>
    <w:rsid w:val="0D7342A4"/>
    <w:rsid w:val="0D8A3613"/>
    <w:rsid w:val="0D99500E"/>
    <w:rsid w:val="0DB65789"/>
    <w:rsid w:val="0E1107F5"/>
    <w:rsid w:val="0E1C4672"/>
    <w:rsid w:val="0E22374E"/>
    <w:rsid w:val="0E356BBF"/>
    <w:rsid w:val="0E3809CC"/>
    <w:rsid w:val="0E511B95"/>
    <w:rsid w:val="0E5B271E"/>
    <w:rsid w:val="0EA16779"/>
    <w:rsid w:val="0EB91E79"/>
    <w:rsid w:val="0F1A64E0"/>
    <w:rsid w:val="0F453A1B"/>
    <w:rsid w:val="0F672A3A"/>
    <w:rsid w:val="0F7568EC"/>
    <w:rsid w:val="0F7D6A6F"/>
    <w:rsid w:val="0F7F4595"/>
    <w:rsid w:val="0FB43D60"/>
    <w:rsid w:val="0FB543C3"/>
    <w:rsid w:val="0FB879D8"/>
    <w:rsid w:val="0FD44300"/>
    <w:rsid w:val="0FD51EA7"/>
    <w:rsid w:val="10475BEF"/>
    <w:rsid w:val="107917BC"/>
    <w:rsid w:val="109A0DE4"/>
    <w:rsid w:val="10CD432E"/>
    <w:rsid w:val="11067D99"/>
    <w:rsid w:val="11126A09"/>
    <w:rsid w:val="11715EC1"/>
    <w:rsid w:val="11C331D8"/>
    <w:rsid w:val="11EE5517"/>
    <w:rsid w:val="120B49BB"/>
    <w:rsid w:val="120E1AEE"/>
    <w:rsid w:val="124560BE"/>
    <w:rsid w:val="124972E0"/>
    <w:rsid w:val="124C4C72"/>
    <w:rsid w:val="12A225CB"/>
    <w:rsid w:val="12CB2E2E"/>
    <w:rsid w:val="12D8614D"/>
    <w:rsid w:val="12FD0A34"/>
    <w:rsid w:val="131B0E58"/>
    <w:rsid w:val="131B55C5"/>
    <w:rsid w:val="131D41F1"/>
    <w:rsid w:val="13244FC8"/>
    <w:rsid w:val="132905EC"/>
    <w:rsid w:val="13891F4C"/>
    <w:rsid w:val="13C75A2D"/>
    <w:rsid w:val="13CA28B2"/>
    <w:rsid w:val="13CD3738"/>
    <w:rsid w:val="13DD1744"/>
    <w:rsid w:val="13E043B1"/>
    <w:rsid w:val="13EC1909"/>
    <w:rsid w:val="13F04364"/>
    <w:rsid w:val="14000054"/>
    <w:rsid w:val="14076A4D"/>
    <w:rsid w:val="14213845"/>
    <w:rsid w:val="1425107D"/>
    <w:rsid w:val="1445442B"/>
    <w:rsid w:val="14540A8E"/>
    <w:rsid w:val="146B4F82"/>
    <w:rsid w:val="14C90F2A"/>
    <w:rsid w:val="14DB4E4E"/>
    <w:rsid w:val="14FE1F4D"/>
    <w:rsid w:val="153E3FCE"/>
    <w:rsid w:val="1576787B"/>
    <w:rsid w:val="158B6D3B"/>
    <w:rsid w:val="159777B9"/>
    <w:rsid w:val="15BE457C"/>
    <w:rsid w:val="15C2095F"/>
    <w:rsid w:val="15EC53D8"/>
    <w:rsid w:val="16027C04"/>
    <w:rsid w:val="16427214"/>
    <w:rsid w:val="16595509"/>
    <w:rsid w:val="16940A35"/>
    <w:rsid w:val="16A368B7"/>
    <w:rsid w:val="17035D51"/>
    <w:rsid w:val="170D168C"/>
    <w:rsid w:val="171B355C"/>
    <w:rsid w:val="171E7558"/>
    <w:rsid w:val="178B4DEA"/>
    <w:rsid w:val="179969FB"/>
    <w:rsid w:val="17FC3547"/>
    <w:rsid w:val="18286C06"/>
    <w:rsid w:val="184239F5"/>
    <w:rsid w:val="189F09A0"/>
    <w:rsid w:val="18AF4FF1"/>
    <w:rsid w:val="18ED61F8"/>
    <w:rsid w:val="18F52BF3"/>
    <w:rsid w:val="192213B1"/>
    <w:rsid w:val="199148D7"/>
    <w:rsid w:val="19FF684B"/>
    <w:rsid w:val="1ACF748B"/>
    <w:rsid w:val="1B143EE6"/>
    <w:rsid w:val="1B4A7789"/>
    <w:rsid w:val="1B6839AF"/>
    <w:rsid w:val="1B8639D4"/>
    <w:rsid w:val="1B970A1E"/>
    <w:rsid w:val="1BC460E3"/>
    <w:rsid w:val="1BD53B1D"/>
    <w:rsid w:val="1BE913E2"/>
    <w:rsid w:val="1C915865"/>
    <w:rsid w:val="1C91723F"/>
    <w:rsid w:val="1C981E77"/>
    <w:rsid w:val="1CBE5BBC"/>
    <w:rsid w:val="1D52476C"/>
    <w:rsid w:val="1DD56782"/>
    <w:rsid w:val="1E502ED2"/>
    <w:rsid w:val="1E5915B9"/>
    <w:rsid w:val="1E9761E3"/>
    <w:rsid w:val="1F2F1B27"/>
    <w:rsid w:val="1F3E50EB"/>
    <w:rsid w:val="1F420817"/>
    <w:rsid w:val="1F720776"/>
    <w:rsid w:val="1FA45952"/>
    <w:rsid w:val="1FCD4E61"/>
    <w:rsid w:val="206A276A"/>
    <w:rsid w:val="209B59AD"/>
    <w:rsid w:val="216B2351"/>
    <w:rsid w:val="216F47AD"/>
    <w:rsid w:val="217837BB"/>
    <w:rsid w:val="217F4E08"/>
    <w:rsid w:val="219F7AD0"/>
    <w:rsid w:val="21CE176E"/>
    <w:rsid w:val="21EA209D"/>
    <w:rsid w:val="224E4923"/>
    <w:rsid w:val="22797945"/>
    <w:rsid w:val="22964378"/>
    <w:rsid w:val="22C37ECE"/>
    <w:rsid w:val="233C5984"/>
    <w:rsid w:val="236636E3"/>
    <w:rsid w:val="239C1C57"/>
    <w:rsid w:val="23FC2423"/>
    <w:rsid w:val="245A200D"/>
    <w:rsid w:val="2480724F"/>
    <w:rsid w:val="248156C2"/>
    <w:rsid w:val="248A331D"/>
    <w:rsid w:val="24AC068C"/>
    <w:rsid w:val="24B81CE2"/>
    <w:rsid w:val="24D76E3B"/>
    <w:rsid w:val="24E9651D"/>
    <w:rsid w:val="252C51E7"/>
    <w:rsid w:val="256623C5"/>
    <w:rsid w:val="26094694"/>
    <w:rsid w:val="26654AB5"/>
    <w:rsid w:val="266A50F8"/>
    <w:rsid w:val="26711A5E"/>
    <w:rsid w:val="26A305EE"/>
    <w:rsid w:val="26A43D1F"/>
    <w:rsid w:val="26B72B28"/>
    <w:rsid w:val="26BA0D01"/>
    <w:rsid w:val="26DA4F2B"/>
    <w:rsid w:val="26EA5FD0"/>
    <w:rsid w:val="27200A76"/>
    <w:rsid w:val="273B3E2B"/>
    <w:rsid w:val="27662C46"/>
    <w:rsid w:val="27A50C08"/>
    <w:rsid w:val="27D9032C"/>
    <w:rsid w:val="27F600B7"/>
    <w:rsid w:val="28011B94"/>
    <w:rsid w:val="281464C5"/>
    <w:rsid w:val="28744380"/>
    <w:rsid w:val="287A69D9"/>
    <w:rsid w:val="28E47D88"/>
    <w:rsid w:val="28EF7C3E"/>
    <w:rsid w:val="293A03D1"/>
    <w:rsid w:val="29921D3F"/>
    <w:rsid w:val="29AC39E0"/>
    <w:rsid w:val="29D87C0B"/>
    <w:rsid w:val="29F00B70"/>
    <w:rsid w:val="2A5112CF"/>
    <w:rsid w:val="2A7C4100"/>
    <w:rsid w:val="2ABB307B"/>
    <w:rsid w:val="2AE82F43"/>
    <w:rsid w:val="2AF84573"/>
    <w:rsid w:val="2B45623B"/>
    <w:rsid w:val="2BB14E30"/>
    <w:rsid w:val="2BB512CD"/>
    <w:rsid w:val="2C0021D6"/>
    <w:rsid w:val="2C063C1D"/>
    <w:rsid w:val="2C0D5BE8"/>
    <w:rsid w:val="2C1D30CE"/>
    <w:rsid w:val="2C6D154E"/>
    <w:rsid w:val="2CCE766C"/>
    <w:rsid w:val="2CF33B27"/>
    <w:rsid w:val="2D822305"/>
    <w:rsid w:val="2E13029B"/>
    <w:rsid w:val="2E2A1718"/>
    <w:rsid w:val="2E4015E6"/>
    <w:rsid w:val="2E6403B7"/>
    <w:rsid w:val="2E93245E"/>
    <w:rsid w:val="2EA152D0"/>
    <w:rsid w:val="2EA32527"/>
    <w:rsid w:val="2EB656D3"/>
    <w:rsid w:val="2EC17F9C"/>
    <w:rsid w:val="2EDC75D2"/>
    <w:rsid w:val="2EE30370"/>
    <w:rsid w:val="2EF1278B"/>
    <w:rsid w:val="2EF20031"/>
    <w:rsid w:val="2EF730C5"/>
    <w:rsid w:val="2F0F5ADA"/>
    <w:rsid w:val="2F1124CF"/>
    <w:rsid w:val="2F3404C4"/>
    <w:rsid w:val="2F3E4062"/>
    <w:rsid w:val="2F5205CC"/>
    <w:rsid w:val="2F726D7F"/>
    <w:rsid w:val="2F8226D3"/>
    <w:rsid w:val="30495BCA"/>
    <w:rsid w:val="30871472"/>
    <w:rsid w:val="30BC732B"/>
    <w:rsid w:val="31080256"/>
    <w:rsid w:val="31271966"/>
    <w:rsid w:val="313114F5"/>
    <w:rsid w:val="31337AB2"/>
    <w:rsid w:val="316137C5"/>
    <w:rsid w:val="326C0DCA"/>
    <w:rsid w:val="32C556CD"/>
    <w:rsid w:val="32E1287F"/>
    <w:rsid w:val="337F75CE"/>
    <w:rsid w:val="339D401F"/>
    <w:rsid w:val="33D562FE"/>
    <w:rsid w:val="34486B1F"/>
    <w:rsid w:val="34580D6D"/>
    <w:rsid w:val="345D211B"/>
    <w:rsid w:val="347C5E3D"/>
    <w:rsid w:val="347C74D9"/>
    <w:rsid w:val="34AE4EF3"/>
    <w:rsid w:val="351F1BCF"/>
    <w:rsid w:val="352972B8"/>
    <w:rsid w:val="35446FAB"/>
    <w:rsid w:val="3590337C"/>
    <w:rsid w:val="35C142CF"/>
    <w:rsid w:val="35D07E4F"/>
    <w:rsid w:val="35EF5C0F"/>
    <w:rsid w:val="35F35D6A"/>
    <w:rsid w:val="363852C4"/>
    <w:rsid w:val="3668151E"/>
    <w:rsid w:val="369008A5"/>
    <w:rsid w:val="36F02F94"/>
    <w:rsid w:val="36FA0F1B"/>
    <w:rsid w:val="370B4CED"/>
    <w:rsid w:val="3749366A"/>
    <w:rsid w:val="376922D0"/>
    <w:rsid w:val="37CD083B"/>
    <w:rsid w:val="37FD4D54"/>
    <w:rsid w:val="38584647"/>
    <w:rsid w:val="389034E9"/>
    <w:rsid w:val="38B61627"/>
    <w:rsid w:val="38D77A38"/>
    <w:rsid w:val="38EC4808"/>
    <w:rsid w:val="393B0AFF"/>
    <w:rsid w:val="39A331BC"/>
    <w:rsid w:val="39B71C97"/>
    <w:rsid w:val="39CA45F6"/>
    <w:rsid w:val="39CF50A1"/>
    <w:rsid w:val="39D67318"/>
    <w:rsid w:val="3A025858"/>
    <w:rsid w:val="3A204F61"/>
    <w:rsid w:val="3A4678DA"/>
    <w:rsid w:val="3A6C68F7"/>
    <w:rsid w:val="3A6C7274"/>
    <w:rsid w:val="3A7360D9"/>
    <w:rsid w:val="3A895CD5"/>
    <w:rsid w:val="3A962499"/>
    <w:rsid w:val="3B107DFE"/>
    <w:rsid w:val="3B487D68"/>
    <w:rsid w:val="3B6444D4"/>
    <w:rsid w:val="3B6E7704"/>
    <w:rsid w:val="3B910A2E"/>
    <w:rsid w:val="3BA62F45"/>
    <w:rsid w:val="3BE40408"/>
    <w:rsid w:val="3BEE1FD7"/>
    <w:rsid w:val="3C063CE8"/>
    <w:rsid w:val="3C33549A"/>
    <w:rsid w:val="3CA20783"/>
    <w:rsid w:val="3CB66062"/>
    <w:rsid w:val="3D06650B"/>
    <w:rsid w:val="3D1B1B10"/>
    <w:rsid w:val="3D89214F"/>
    <w:rsid w:val="3D9C2B04"/>
    <w:rsid w:val="3DD65B74"/>
    <w:rsid w:val="3E364399"/>
    <w:rsid w:val="3E6F0DE5"/>
    <w:rsid w:val="3EB54F69"/>
    <w:rsid w:val="3ECA5232"/>
    <w:rsid w:val="3EF249E7"/>
    <w:rsid w:val="3F0616AF"/>
    <w:rsid w:val="3F0A34FE"/>
    <w:rsid w:val="3F9A0F3F"/>
    <w:rsid w:val="40C44A5B"/>
    <w:rsid w:val="40F70FB5"/>
    <w:rsid w:val="41086A92"/>
    <w:rsid w:val="411B2071"/>
    <w:rsid w:val="417112A7"/>
    <w:rsid w:val="41C35DF9"/>
    <w:rsid w:val="420D5CC3"/>
    <w:rsid w:val="42402CAF"/>
    <w:rsid w:val="424B1F31"/>
    <w:rsid w:val="426409FF"/>
    <w:rsid w:val="4274540E"/>
    <w:rsid w:val="427A6A07"/>
    <w:rsid w:val="429D2148"/>
    <w:rsid w:val="42AD2D37"/>
    <w:rsid w:val="42E167C4"/>
    <w:rsid w:val="42F46D9B"/>
    <w:rsid w:val="43B032AE"/>
    <w:rsid w:val="43BB1A7C"/>
    <w:rsid w:val="43EB6C0E"/>
    <w:rsid w:val="4464644F"/>
    <w:rsid w:val="447E65FE"/>
    <w:rsid w:val="44804C89"/>
    <w:rsid w:val="44C43B69"/>
    <w:rsid w:val="452C207A"/>
    <w:rsid w:val="45316953"/>
    <w:rsid w:val="457D005C"/>
    <w:rsid w:val="458549A6"/>
    <w:rsid w:val="458C448F"/>
    <w:rsid w:val="45E6242E"/>
    <w:rsid w:val="4613054D"/>
    <w:rsid w:val="46345FB0"/>
    <w:rsid w:val="46963997"/>
    <w:rsid w:val="46CF3B83"/>
    <w:rsid w:val="46F60545"/>
    <w:rsid w:val="472E69B8"/>
    <w:rsid w:val="473E628F"/>
    <w:rsid w:val="477264CA"/>
    <w:rsid w:val="4795736E"/>
    <w:rsid w:val="47A13104"/>
    <w:rsid w:val="47B20502"/>
    <w:rsid w:val="47B6609F"/>
    <w:rsid w:val="47BC37DD"/>
    <w:rsid w:val="480F1C53"/>
    <w:rsid w:val="48125C07"/>
    <w:rsid w:val="48471C27"/>
    <w:rsid w:val="486E1F78"/>
    <w:rsid w:val="48DF4604"/>
    <w:rsid w:val="48FE10EF"/>
    <w:rsid w:val="49164A89"/>
    <w:rsid w:val="49396860"/>
    <w:rsid w:val="49BB0B78"/>
    <w:rsid w:val="49C01FA3"/>
    <w:rsid w:val="49E93D4B"/>
    <w:rsid w:val="49F51CDC"/>
    <w:rsid w:val="49F91C0F"/>
    <w:rsid w:val="4A1B6DE6"/>
    <w:rsid w:val="4A3D59DA"/>
    <w:rsid w:val="4A6F799A"/>
    <w:rsid w:val="4A857F52"/>
    <w:rsid w:val="4AA101A6"/>
    <w:rsid w:val="4AAA3371"/>
    <w:rsid w:val="4AAA616B"/>
    <w:rsid w:val="4ADE0F0E"/>
    <w:rsid w:val="4B272269"/>
    <w:rsid w:val="4B3E54B3"/>
    <w:rsid w:val="4B7C6EB8"/>
    <w:rsid w:val="4BB408EA"/>
    <w:rsid w:val="4BEF4B82"/>
    <w:rsid w:val="4C2122DD"/>
    <w:rsid w:val="4C4517DB"/>
    <w:rsid w:val="4C75036B"/>
    <w:rsid w:val="4C8349E6"/>
    <w:rsid w:val="4C9509AC"/>
    <w:rsid w:val="4CA67F14"/>
    <w:rsid w:val="4CAF1D24"/>
    <w:rsid w:val="4CC57459"/>
    <w:rsid w:val="4D27569F"/>
    <w:rsid w:val="4D81561C"/>
    <w:rsid w:val="4E12507A"/>
    <w:rsid w:val="4E2010C7"/>
    <w:rsid w:val="4E3B233C"/>
    <w:rsid w:val="4E5E5A80"/>
    <w:rsid w:val="4EF024B8"/>
    <w:rsid w:val="4F2C43C7"/>
    <w:rsid w:val="4F583168"/>
    <w:rsid w:val="4F5D2E1B"/>
    <w:rsid w:val="4F5F2215"/>
    <w:rsid w:val="4FC9542E"/>
    <w:rsid w:val="4FEF2445"/>
    <w:rsid w:val="503A0E05"/>
    <w:rsid w:val="50731ED2"/>
    <w:rsid w:val="508A7AC8"/>
    <w:rsid w:val="50E4131D"/>
    <w:rsid w:val="50F44C9D"/>
    <w:rsid w:val="515B7037"/>
    <w:rsid w:val="516E74CF"/>
    <w:rsid w:val="51A12BC7"/>
    <w:rsid w:val="51A43D8E"/>
    <w:rsid w:val="51BD3FBD"/>
    <w:rsid w:val="51C507E8"/>
    <w:rsid w:val="51C9420E"/>
    <w:rsid w:val="523E684E"/>
    <w:rsid w:val="52732040"/>
    <w:rsid w:val="529A1E84"/>
    <w:rsid w:val="52C92CAE"/>
    <w:rsid w:val="532C281F"/>
    <w:rsid w:val="532F0B36"/>
    <w:rsid w:val="53310CD0"/>
    <w:rsid w:val="53CA2C9A"/>
    <w:rsid w:val="53E86C6B"/>
    <w:rsid w:val="540130E7"/>
    <w:rsid w:val="5457100C"/>
    <w:rsid w:val="546B7349"/>
    <w:rsid w:val="546D5291"/>
    <w:rsid w:val="54706FB7"/>
    <w:rsid w:val="547F3117"/>
    <w:rsid w:val="54820456"/>
    <w:rsid w:val="5499445C"/>
    <w:rsid w:val="54B117C4"/>
    <w:rsid w:val="550418C1"/>
    <w:rsid w:val="550E2F43"/>
    <w:rsid w:val="555B6BDC"/>
    <w:rsid w:val="555F3502"/>
    <w:rsid w:val="55702FD7"/>
    <w:rsid w:val="559B6544"/>
    <w:rsid w:val="55AC1A86"/>
    <w:rsid w:val="55F0091D"/>
    <w:rsid w:val="55F610DC"/>
    <w:rsid w:val="56014734"/>
    <w:rsid w:val="56086962"/>
    <w:rsid w:val="56303733"/>
    <w:rsid w:val="563B06DD"/>
    <w:rsid w:val="564B5803"/>
    <w:rsid w:val="564D10A7"/>
    <w:rsid w:val="565A039E"/>
    <w:rsid w:val="566135DB"/>
    <w:rsid w:val="569D2C59"/>
    <w:rsid w:val="56A141C1"/>
    <w:rsid w:val="57037D85"/>
    <w:rsid w:val="570A2CB0"/>
    <w:rsid w:val="571669EE"/>
    <w:rsid w:val="57275046"/>
    <w:rsid w:val="57411892"/>
    <w:rsid w:val="57763DE9"/>
    <w:rsid w:val="57A60DF7"/>
    <w:rsid w:val="57D56B9E"/>
    <w:rsid w:val="58145051"/>
    <w:rsid w:val="583B029D"/>
    <w:rsid w:val="585F4B3A"/>
    <w:rsid w:val="590A5636"/>
    <w:rsid w:val="59271254"/>
    <w:rsid w:val="59726D3E"/>
    <w:rsid w:val="59C96601"/>
    <w:rsid w:val="5A141292"/>
    <w:rsid w:val="5A202165"/>
    <w:rsid w:val="5A5F4E0C"/>
    <w:rsid w:val="5A6A7D19"/>
    <w:rsid w:val="5A74563A"/>
    <w:rsid w:val="5ACA1640"/>
    <w:rsid w:val="5ADC0480"/>
    <w:rsid w:val="5B074B13"/>
    <w:rsid w:val="5B6D6A17"/>
    <w:rsid w:val="5B9036B4"/>
    <w:rsid w:val="5BB81831"/>
    <w:rsid w:val="5BDF3E31"/>
    <w:rsid w:val="5C1C645F"/>
    <w:rsid w:val="5C784895"/>
    <w:rsid w:val="5C8D1E56"/>
    <w:rsid w:val="5CBC6AF0"/>
    <w:rsid w:val="5D340B0A"/>
    <w:rsid w:val="5D3A31B9"/>
    <w:rsid w:val="5D570218"/>
    <w:rsid w:val="5D57117D"/>
    <w:rsid w:val="5DA256B8"/>
    <w:rsid w:val="5DEE3C5D"/>
    <w:rsid w:val="5DFB53E3"/>
    <w:rsid w:val="5E321067"/>
    <w:rsid w:val="5E4F6EB1"/>
    <w:rsid w:val="5E704545"/>
    <w:rsid w:val="5E98235D"/>
    <w:rsid w:val="5EA34D62"/>
    <w:rsid w:val="5EA91DD3"/>
    <w:rsid w:val="5EB7727F"/>
    <w:rsid w:val="5EE034B3"/>
    <w:rsid w:val="5F2905B4"/>
    <w:rsid w:val="5F310BD2"/>
    <w:rsid w:val="5FF9400F"/>
    <w:rsid w:val="602A6B0E"/>
    <w:rsid w:val="60427DD6"/>
    <w:rsid w:val="604E66EE"/>
    <w:rsid w:val="60AF76D8"/>
    <w:rsid w:val="61584FA9"/>
    <w:rsid w:val="61650131"/>
    <w:rsid w:val="61DA082F"/>
    <w:rsid w:val="62675048"/>
    <w:rsid w:val="62865CD4"/>
    <w:rsid w:val="62A0429A"/>
    <w:rsid w:val="62F62155"/>
    <w:rsid w:val="63280118"/>
    <w:rsid w:val="63744999"/>
    <w:rsid w:val="63845D0D"/>
    <w:rsid w:val="63975E31"/>
    <w:rsid w:val="63B6071F"/>
    <w:rsid w:val="63FB7607"/>
    <w:rsid w:val="644E3B06"/>
    <w:rsid w:val="64BF7601"/>
    <w:rsid w:val="64C73EE1"/>
    <w:rsid w:val="6506353B"/>
    <w:rsid w:val="65080E62"/>
    <w:rsid w:val="653158ED"/>
    <w:rsid w:val="654E5781"/>
    <w:rsid w:val="658164FE"/>
    <w:rsid w:val="65A02F09"/>
    <w:rsid w:val="65D949A0"/>
    <w:rsid w:val="65E9566D"/>
    <w:rsid w:val="6618004D"/>
    <w:rsid w:val="664C1A91"/>
    <w:rsid w:val="664E34FF"/>
    <w:rsid w:val="670A7B4B"/>
    <w:rsid w:val="673A54D2"/>
    <w:rsid w:val="67624C98"/>
    <w:rsid w:val="67A56D0B"/>
    <w:rsid w:val="67CA4B94"/>
    <w:rsid w:val="67F45397"/>
    <w:rsid w:val="682741FD"/>
    <w:rsid w:val="68683669"/>
    <w:rsid w:val="690324A6"/>
    <w:rsid w:val="690C6D60"/>
    <w:rsid w:val="692A51FF"/>
    <w:rsid w:val="692D40FA"/>
    <w:rsid w:val="69354419"/>
    <w:rsid w:val="69430865"/>
    <w:rsid w:val="69811A35"/>
    <w:rsid w:val="698A7A84"/>
    <w:rsid w:val="69BB40C1"/>
    <w:rsid w:val="6A4B23B7"/>
    <w:rsid w:val="6A723AA6"/>
    <w:rsid w:val="6AAB7923"/>
    <w:rsid w:val="6AB25136"/>
    <w:rsid w:val="6AB877CC"/>
    <w:rsid w:val="6AC96C56"/>
    <w:rsid w:val="6AE315A6"/>
    <w:rsid w:val="6B192059"/>
    <w:rsid w:val="6B1A3840"/>
    <w:rsid w:val="6B647032"/>
    <w:rsid w:val="6B726569"/>
    <w:rsid w:val="6B8C298C"/>
    <w:rsid w:val="6B914CD8"/>
    <w:rsid w:val="6BA2352A"/>
    <w:rsid w:val="6BA25982"/>
    <w:rsid w:val="6BAA574A"/>
    <w:rsid w:val="6BBA1BE4"/>
    <w:rsid w:val="6BE604E0"/>
    <w:rsid w:val="6BEF35B3"/>
    <w:rsid w:val="6BFD4DC6"/>
    <w:rsid w:val="6C0231E9"/>
    <w:rsid w:val="6C4654A7"/>
    <w:rsid w:val="6C4F164F"/>
    <w:rsid w:val="6C5E37B1"/>
    <w:rsid w:val="6C6C2AAE"/>
    <w:rsid w:val="6CBC5A21"/>
    <w:rsid w:val="6CDA34E5"/>
    <w:rsid w:val="6CE27F78"/>
    <w:rsid w:val="6CED55D8"/>
    <w:rsid w:val="6CF34C73"/>
    <w:rsid w:val="6D332E32"/>
    <w:rsid w:val="6D527BEB"/>
    <w:rsid w:val="6D685E45"/>
    <w:rsid w:val="6D6B0582"/>
    <w:rsid w:val="6D961E26"/>
    <w:rsid w:val="6DAD66D5"/>
    <w:rsid w:val="6DD65384"/>
    <w:rsid w:val="6E0739BB"/>
    <w:rsid w:val="6E09469E"/>
    <w:rsid w:val="6E397959"/>
    <w:rsid w:val="6E620BD2"/>
    <w:rsid w:val="6E816BB5"/>
    <w:rsid w:val="6E8D2760"/>
    <w:rsid w:val="6E9C3AB3"/>
    <w:rsid w:val="6EA00564"/>
    <w:rsid w:val="6EC86FE9"/>
    <w:rsid w:val="6EEC23EB"/>
    <w:rsid w:val="6F6F03A9"/>
    <w:rsid w:val="6FEE438E"/>
    <w:rsid w:val="6FFB4377"/>
    <w:rsid w:val="701D054E"/>
    <w:rsid w:val="706C6DB1"/>
    <w:rsid w:val="70863834"/>
    <w:rsid w:val="70A569E4"/>
    <w:rsid w:val="70B008E6"/>
    <w:rsid w:val="70EB1BFC"/>
    <w:rsid w:val="70FE619E"/>
    <w:rsid w:val="7105445C"/>
    <w:rsid w:val="712B0477"/>
    <w:rsid w:val="714D6B3D"/>
    <w:rsid w:val="71687874"/>
    <w:rsid w:val="71AB13FE"/>
    <w:rsid w:val="71DE3866"/>
    <w:rsid w:val="721A6D8C"/>
    <w:rsid w:val="726E5843"/>
    <w:rsid w:val="72802FC3"/>
    <w:rsid w:val="72916E57"/>
    <w:rsid w:val="72A66DFE"/>
    <w:rsid w:val="72B374AB"/>
    <w:rsid w:val="732E221F"/>
    <w:rsid w:val="733B57B5"/>
    <w:rsid w:val="73453219"/>
    <w:rsid w:val="73621BAB"/>
    <w:rsid w:val="73792799"/>
    <w:rsid w:val="738B4176"/>
    <w:rsid w:val="74091F38"/>
    <w:rsid w:val="740A69CF"/>
    <w:rsid w:val="741453DF"/>
    <w:rsid w:val="744F6DB0"/>
    <w:rsid w:val="74724A6A"/>
    <w:rsid w:val="748E7B0B"/>
    <w:rsid w:val="74F66E4E"/>
    <w:rsid w:val="752A5C4D"/>
    <w:rsid w:val="75A5066A"/>
    <w:rsid w:val="75F06CCC"/>
    <w:rsid w:val="75F275A8"/>
    <w:rsid w:val="76391DDE"/>
    <w:rsid w:val="76587C25"/>
    <w:rsid w:val="76D47CC3"/>
    <w:rsid w:val="76E55FBA"/>
    <w:rsid w:val="773525CC"/>
    <w:rsid w:val="775476EE"/>
    <w:rsid w:val="77802CA7"/>
    <w:rsid w:val="77A8550A"/>
    <w:rsid w:val="77A95491"/>
    <w:rsid w:val="77AD5039"/>
    <w:rsid w:val="77EA6C04"/>
    <w:rsid w:val="7831792D"/>
    <w:rsid w:val="78525676"/>
    <w:rsid w:val="785A13F9"/>
    <w:rsid w:val="788B641C"/>
    <w:rsid w:val="78AB762E"/>
    <w:rsid w:val="78B36BB4"/>
    <w:rsid w:val="790513C6"/>
    <w:rsid w:val="79090A53"/>
    <w:rsid w:val="792D698A"/>
    <w:rsid w:val="79447CB1"/>
    <w:rsid w:val="79801782"/>
    <w:rsid w:val="79C1696C"/>
    <w:rsid w:val="79EE7790"/>
    <w:rsid w:val="79FC7AD8"/>
    <w:rsid w:val="7A4B697B"/>
    <w:rsid w:val="7AFD26D7"/>
    <w:rsid w:val="7B054DBB"/>
    <w:rsid w:val="7B7E3BE2"/>
    <w:rsid w:val="7BB57A8C"/>
    <w:rsid w:val="7BE637A1"/>
    <w:rsid w:val="7BEC088E"/>
    <w:rsid w:val="7C2F5CB1"/>
    <w:rsid w:val="7C3D66C3"/>
    <w:rsid w:val="7CC540DF"/>
    <w:rsid w:val="7CC7047D"/>
    <w:rsid w:val="7CE57EE5"/>
    <w:rsid w:val="7CEF5FCC"/>
    <w:rsid w:val="7D1B44B2"/>
    <w:rsid w:val="7D860B0E"/>
    <w:rsid w:val="7D8D10EE"/>
    <w:rsid w:val="7DAD1775"/>
    <w:rsid w:val="7E017705"/>
    <w:rsid w:val="7E12032F"/>
    <w:rsid w:val="7E243B5E"/>
    <w:rsid w:val="7E3A6DBC"/>
    <w:rsid w:val="7E3D31EE"/>
    <w:rsid w:val="7E5A0ED3"/>
    <w:rsid w:val="7E651019"/>
    <w:rsid w:val="7E6513A4"/>
    <w:rsid w:val="7EA139E5"/>
    <w:rsid w:val="7EA639BC"/>
    <w:rsid w:val="7EF1122F"/>
    <w:rsid w:val="7F27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eastAsia="仿宋_GB2312" w:hAnsiTheme="minorHAnsi" w:cstheme="minorBidi"/>
      <w:kern w:val="2"/>
      <w:sz w:val="28"/>
      <w:szCs w:val="24"/>
      <w:lang w:val="en-US" w:eastAsia="zh-CN" w:bidi="ar-SA"/>
    </w:rPr>
  </w:style>
  <w:style w:type="paragraph" w:styleId="3">
    <w:name w:val="heading 1"/>
    <w:basedOn w:val="1"/>
    <w:next w:val="1"/>
    <w:link w:val="30"/>
    <w:qFormat/>
    <w:uiPriority w:val="0"/>
    <w:pPr>
      <w:outlineLvl w:val="0"/>
    </w:pPr>
    <w:rPr>
      <w:rFonts w:ascii="黑体" w:eastAsia="黑体"/>
      <w:bCs/>
      <w:kern w:val="44"/>
      <w:szCs w:val="44"/>
    </w:rPr>
  </w:style>
  <w:style w:type="paragraph" w:styleId="4">
    <w:name w:val="heading 2"/>
    <w:basedOn w:val="1"/>
    <w:next w:val="1"/>
    <w:link w:val="37"/>
    <w:unhideWhenUsed/>
    <w:qFormat/>
    <w:uiPriority w:val="0"/>
    <w:pPr>
      <w:outlineLvl w:val="1"/>
    </w:pPr>
    <w:rPr>
      <w:rFonts w:ascii="楷体_GB2312" w:eastAsia="楷体_GB2312" w:hAnsiTheme="majorHAnsi" w:cstheme="majorBidi"/>
      <w:bCs/>
      <w:szCs w:val="32"/>
    </w:rPr>
  </w:style>
  <w:style w:type="paragraph" w:styleId="5">
    <w:name w:val="heading 3"/>
    <w:basedOn w:val="1"/>
    <w:next w:val="1"/>
    <w:link w:val="38"/>
    <w:unhideWhenUsed/>
    <w:qFormat/>
    <w:uiPriority w:val="0"/>
    <w:pPr>
      <w:outlineLvl w:val="2"/>
    </w:pPr>
    <w:rPr>
      <w:b/>
      <w:bCs/>
      <w:szCs w:val="32"/>
    </w:rPr>
  </w:style>
  <w:style w:type="paragraph" w:styleId="6">
    <w:name w:val="heading 4"/>
    <w:basedOn w:val="1"/>
    <w:next w:val="1"/>
    <w:link w:val="34"/>
    <w:unhideWhenUsed/>
    <w:qFormat/>
    <w:uiPriority w:val="0"/>
    <w:pPr>
      <w:keepNext/>
      <w:keepLines/>
      <w:spacing w:before="280" w:after="290" w:line="376" w:lineRule="auto"/>
      <w:outlineLvl w:val="3"/>
    </w:pPr>
    <w:rPr>
      <w:rFonts w:asciiTheme="majorHAnsi" w:hAnsiTheme="majorHAnsi" w:eastAsiaTheme="majorEastAsia" w:cstheme="majorBidi"/>
      <w:b/>
      <w:bCs/>
      <w:szCs w:val="28"/>
    </w:rPr>
  </w:style>
  <w:style w:type="paragraph" w:styleId="7">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
    </w:pPr>
    <w:rPr>
      <w:rFonts w:ascii="Times New Roman" w:hAnsi="Times New Roman" w:eastAsia="宋体" w:cs="Times New Roman"/>
      <w:szCs w:val="20"/>
    </w:rPr>
  </w:style>
  <w:style w:type="paragraph" w:styleId="8">
    <w:name w:val="annotation text"/>
    <w:basedOn w:val="1"/>
    <w:link w:val="28"/>
    <w:qFormat/>
    <w:uiPriority w:val="0"/>
    <w:pPr>
      <w:jc w:val="left"/>
    </w:pPr>
  </w:style>
  <w:style w:type="paragraph" w:styleId="9">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10">
    <w:name w:val="Plain Text"/>
    <w:basedOn w:val="1"/>
    <w:qFormat/>
    <w:uiPriority w:val="0"/>
    <w:rPr>
      <w:rFonts w:ascii="宋体" w:hAnsi="Courier New"/>
      <w:szCs w:val="20"/>
    </w:rPr>
  </w:style>
  <w:style w:type="paragraph" w:styleId="11">
    <w:name w:val="Date"/>
    <w:basedOn w:val="1"/>
    <w:next w:val="1"/>
    <w:link w:val="33"/>
    <w:qFormat/>
    <w:uiPriority w:val="0"/>
    <w:pPr>
      <w:ind w:left="100" w:leftChars="2500"/>
    </w:pPr>
  </w:style>
  <w:style w:type="paragraph" w:styleId="12">
    <w:name w:val="Balloon Text"/>
    <w:basedOn w:val="1"/>
    <w:link w:val="27"/>
    <w:qFormat/>
    <w:uiPriority w:val="0"/>
    <w:rPr>
      <w:sz w:val="18"/>
      <w:szCs w:val="18"/>
    </w:rPr>
  </w:style>
  <w:style w:type="paragraph" w:styleId="13">
    <w:name w:val="footer"/>
    <w:basedOn w:val="1"/>
    <w:link w:val="39"/>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link w:val="41"/>
    <w:qFormat/>
    <w:uiPriority w:val="0"/>
    <w:pPr>
      <w:snapToGrid w:val="0"/>
      <w:spacing w:line="240" w:lineRule="auto"/>
      <w:ind w:firstLine="0" w:firstLineChars="0"/>
      <w:jc w:val="left"/>
    </w:pPr>
    <w:rPr>
      <w:rFonts w:asciiTheme="minorHAnsi" w:eastAsiaTheme="minorEastAsia"/>
      <w:sz w:val="18"/>
    </w:rPr>
  </w:style>
  <w:style w:type="paragraph" w:styleId="17">
    <w:name w:val="toc 2"/>
    <w:basedOn w:val="1"/>
    <w:next w:val="1"/>
    <w:qFormat/>
    <w:uiPriority w:val="39"/>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Title"/>
    <w:basedOn w:val="1"/>
    <w:next w:val="1"/>
    <w:link w:val="36"/>
    <w:qFormat/>
    <w:uiPriority w:val="0"/>
    <w:pPr>
      <w:jc w:val="center"/>
      <w:outlineLvl w:val="0"/>
    </w:pPr>
    <w:rPr>
      <w:rFonts w:ascii="方正小标宋简体" w:eastAsia="方正小标宋简体" w:hAnsiTheme="majorHAnsi" w:cstheme="majorBidi"/>
      <w:bCs/>
      <w:sz w:val="44"/>
      <w:szCs w:val="32"/>
    </w:rPr>
  </w:style>
  <w:style w:type="paragraph" w:styleId="20">
    <w:name w:val="annotation subject"/>
    <w:basedOn w:val="8"/>
    <w:next w:val="8"/>
    <w:link w:val="29"/>
    <w:qFormat/>
    <w:uiPriority w:val="0"/>
    <w:rPr>
      <w:b/>
      <w:bCs/>
    </w:rPr>
  </w:style>
  <w:style w:type="table" w:styleId="22">
    <w:name w:val="Table Grid"/>
    <w:basedOn w:val="2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qFormat/>
    <w:uiPriority w:val="0"/>
    <w:rPr>
      <w:sz w:val="21"/>
      <w:szCs w:val="21"/>
    </w:rPr>
  </w:style>
  <w:style w:type="character" w:styleId="26">
    <w:name w:val="footnote reference"/>
    <w:basedOn w:val="23"/>
    <w:qFormat/>
    <w:uiPriority w:val="0"/>
    <w:rPr>
      <w:vertAlign w:val="superscript"/>
    </w:rPr>
  </w:style>
  <w:style w:type="character" w:customStyle="1" w:styleId="27">
    <w:name w:val="批注框文本 字符"/>
    <w:basedOn w:val="23"/>
    <w:link w:val="12"/>
    <w:qFormat/>
    <w:uiPriority w:val="0"/>
    <w:rPr>
      <w:rFonts w:asciiTheme="minorHAnsi" w:hAnsiTheme="minorHAnsi" w:eastAsiaTheme="minorEastAsia" w:cstheme="minorBidi"/>
      <w:kern w:val="2"/>
      <w:sz w:val="18"/>
      <w:szCs w:val="18"/>
    </w:rPr>
  </w:style>
  <w:style w:type="character" w:customStyle="1" w:styleId="28">
    <w:name w:val="批注文字 字符"/>
    <w:basedOn w:val="23"/>
    <w:link w:val="8"/>
    <w:qFormat/>
    <w:uiPriority w:val="0"/>
    <w:rPr>
      <w:rFonts w:asciiTheme="minorHAnsi" w:hAnsiTheme="minorHAnsi" w:eastAsiaTheme="minorEastAsia" w:cstheme="minorBidi"/>
      <w:kern w:val="2"/>
      <w:sz w:val="21"/>
      <w:szCs w:val="24"/>
    </w:rPr>
  </w:style>
  <w:style w:type="character" w:customStyle="1" w:styleId="29">
    <w:name w:val="批注主题 字符"/>
    <w:basedOn w:val="28"/>
    <w:link w:val="20"/>
    <w:qFormat/>
    <w:uiPriority w:val="0"/>
    <w:rPr>
      <w:rFonts w:asciiTheme="minorHAnsi" w:hAnsiTheme="minorHAnsi" w:eastAsiaTheme="minorEastAsia" w:cstheme="minorBidi"/>
      <w:b/>
      <w:bCs/>
      <w:kern w:val="2"/>
      <w:sz w:val="21"/>
      <w:szCs w:val="24"/>
    </w:rPr>
  </w:style>
  <w:style w:type="character" w:customStyle="1" w:styleId="30">
    <w:name w:val="标题 1 字符"/>
    <w:basedOn w:val="23"/>
    <w:link w:val="3"/>
    <w:qFormat/>
    <w:uiPriority w:val="0"/>
    <w:rPr>
      <w:rFonts w:ascii="黑体" w:eastAsia="黑体" w:hAnsiTheme="minorHAnsi" w:cstheme="minorBidi"/>
      <w:bCs/>
      <w:kern w:val="44"/>
      <w:sz w:val="28"/>
      <w:szCs w:val="44"/>
    </w:rPr>
  </w:style>
  <w:style w:type="paragraph" w:customStyle="1" w:styleId="31">
    <w:name w:val="绩效评价正文"/>
    <w:basedOn w:val="1"/>
    <w:qFormat/>
    <w:uiPriority w:val="0"/>
    <w:pPr>
      <w:ind w:firstLine="640"/>
    </w:pPr>
    <w:rPr>
      <w:rFonts w:hAnsi="宋体"/>
      <w:szCs w:val="32"/>
    </w:rPr>
  </w:style>
  <w:style w:type="paragraph" w:customStyle="1" w:styleId="32">
    <w:name w:val="标题三"/>
    <w:basedOn w:val="1"/>
    <w:qFormat/>
    <w:uiPriority w:val="0"/>
    <w:pPr>
      <w:tabs>
        <w:tab w:val="center" w:pos="4436"/>
      </w:tabs>
      <w:overflowPunct w:val="0"/>
      <w:outlineLvl w:val="1"/>
    </w:pPr>
    <w:rPr>
      <w:rFonts w:hAnsi="宋体"/>
      <w:b/>
      <w:szCs w:val="32"/>
    </w:rPr>
  </w:style>
  <w:style w:type="character" w:customStyle="1" w:styleId="33">
    <w:name w:val="日期 字符"/>
    <w:basedOn w:val="23"/>
    <w:link w:val="11"/>
    <w:qFormat/>
    <w:uiPriority w:val="0"/>
    <w:rPr>
      <w:rFonts w:asciiTheme="minorHAnsi" w:hAnsiTheme="minorHAnsi" w:eastAsiaTheme="minorEastAsia" w:cstheme="minorBidi"/>
      <w:kern w:val="2"/>
      <w:sz w:val="21"/>
      <w:szCs w:val="24"/>
    </w:rPr>
  </w:style>
  <w:style w:type="character" w:customStyle="1" w:styleId="34">
    <w:name w:val="标题 4 字符"/>
    <w:basedOn w:val="23"/>
    <w:link w:val="6"/>
    <w:qFormat/>
    <w:uiPriority w:val="0"/>
    <w:rPr>
      <w:rFonts w:asciiTheme="majorHAnsi" w:hAnsiTheme="majorHAnsi" w:eastAsiaTheme="majorEastAsia" w:cstheme="majorBidi"/>
      <w:b/>
      <w:bCs/>
      <w:kern w:val="2"/>
      <w:sz w:val="28"/>
      <w:szCs w:val="28"/>
    </w:rPr>
  </w:style>
  <w:style w:type="paragraph" w:customStyle="1" w:styleId="35">
    <w:name w:val="_Style 10"/>
    <w:basedOn w:val="1"/>
    <w:qFormat/>
    <w:uiPriority w:val="0"/>
    <w:pPr>
      <w:ind w:firstLine="420"/>
    </w:pPr>
    <w:rPr>
      <w:rFonts w:ascii="Calibri" w:hAnsi="Calibri" w:eastAsia="宋体" w:cs="Times New Roman"/>
      <w:szCs w:val="22"/>
    </w:rPr>
  </w:style>
  <w:style w:type="character" w:customStyle="1" w:styleId="36">
    <w:name w:val="标题 字符"/>
    <w:basedOn w:val="23"/>
    <w:link w:val="19"/>
    <w:qFormat/>
    <w:uiPriority w:val="0"/>
    <w:rPr>
      <w:rFonts w:ascii="方正小标宋简体" w:eastAsia="方正小标宋简体" w:hAnsiTheme="majorHAnsi" w:cstheme="majorBidi"/>
      <w:bCs/>
      <w:kern w:val="2"/>
      <w:sz w:val="44"/>
      <w:szCs w:val="32"/>
    </w:rPr>
  </w:style>
  <w:style w:type="character" w:customStyle="1" w:styleId="37">
    <w:name w:val="标题 2 字符"/>
    <w:basedOn w:val="23"/>
    <w:link w:val="4"/>
    <w:qFormat/>
    <w:uiPriority w:val="0"/>
    <w:rPr>
      <w:rFonts w:ascii="楷体_GB2312" w:eastAsia="楷体_GB2312" w:hAnsiTheme="majorHAnsi" w:cstheme="majorBidi"/>
      <w:bCs/>
      <w:kern w:val="2"/>
      <w:sz w:val="28"/>
      <w:szCs w:val="32"/>
    </w:rPr>
  </w:style>
  <w:style w:type="character" w:customStyle="1" w:styleId="38">
    <w:name w:val="标题 3 字符"/>
    <w:basedOn w:val="23"/>
    <w:link w:val="5"/>
    <w:qFormat/>
    <w:uiPriority w:val="0"/>
    <w:rPr>
      <w:rFonts w:ascii="仿宋_GB2312" w:eastAsia="仿宋_GB2312" w:hAnsiTheme="minorHAnsi" w:cstheme="minorBidi"/>
      <w:b/>
      <w:bCs/>
      <w:kern w:val="2"/>
      <w:sz w:val="28"/>
      <w:szCs w:val="32"/>
    </w:rPr>
  </w:style>
  <w:style w:type="character" w:customStyle="1" w:styleId="39">
    <w:name w:val="页脚 字符"/>
    <w:basedOn w:val="23"/>
    <w:link w:val="13"/>
    <w:qFormat/>
    <w:uiPriority w:val="99"/>
    <w:rPr>
      <w:rFonts w:ascii="仿宋_GB2312" w:eastAsia="仿宋_GB2312" w:hAnsiTheme="minorHAnsi" w:cstheme="minorBidi"/>
      <w:kern w:val="2"/>
      <w:sz w:val="18"/>
      <w:szCs w:val="18"/>
    </w:rPr>
  </w:style>
  <w:style w:type="paragraph" w:customStyle="1" w:styleId="40">
    <w:name w:val="TOC 标题1"/>
    <w:basedOn w:val="3"/>
    <w:next w:val="1"/>
    <w:semiHidden/>
    <w:unhideWhenUsed/>
    <w:qFormat/>
    <w:uiPriority w:val="39"/>
    <w:pPr>
      <w:keepNext/>
      <w:keepLines/>
      <w:widowControl/>
      <w:spacing w:before="480" w:line="276" w:lineRule="auto"/>
      <w:ind w:firstLine="0" w:firstLineChars="0"/>
      <w:jc w:val="left"/>
      <w:outlineLvl w:val="9"/>
    </w:pPr>
    <w:rPr>
      <w:rFonts w:asciiTheme="majorHAnsi" w:hAnsiTheme="majorHAnsi" w:eastAsiaTheme="majorEastAsia" w:cstheme="majorBidi"/>
      <w:b/>
      <w:color w:val="2E75B6" w:themeColor="accent1" w:themeShade="BF"/>
      <w:kern w:val="0"/>
      <w:szCs w:val="28"/>
    </w:rPr>
  </w:style>
  <w:style w:type="character" w:customStyle="1" w:styleId="41">
    <w:name w:val="脚注文本 字符"/>
    <w:basedOn w:val="23"/>
    <w:link w:val="16"/>
    <w:qFormat/>
    <w:uiPriority w:val="0"/>
    <w:rPr>
      <w:rFonts w:asciiTheme="minorHAnsi" w:hAnsiTheme="minorHAnsi" w:eastAsiaTheme="minorEastAsia" w:cstheme="minorBidi"/>
      <w:kern w:val="2"/>
      <w:sz w:val="18"/>
      <w:szCs w:val="24"/>
    </w:rPr>
  </w:style>
  <w:style w:type="paragraph" w:customStyle="1" w:styleId="42">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766F-2544-45C7-B717-A7A642403196}">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5808</Words>
  <Characters>6058</Characters>
  <Lines>217</Lines>
  <Paragraphs>61</Paragraphs>
  <TotalTime>0</TotalTime>
  <ScaleCrop>false</ScaleCrop>
  <LinksUpToDate>false</LinksUpToDate>
  <CharactersWithSpaces>6068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2020-02-28T03:58:00Z</dcterms:created>
  <dc:creator>李智勇</dc:creator>
  <cp:lastModifiedBy>随意@_@</cp:lastModifiedBy>
  <cp:lastPrinted>2021-05-28T13:42:00Z</cp:lastPrinted>
  <dcterms:modified xsi:type="dcterms:W3CDTF">2022-09-13T11:04:08Z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B6B46FF0179947CD9D21F15EFEE8291D</vt:lpwstr>
  </property>
</Properties>
</file>