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360" w:lineRule="auto"/>
        <w:ind w:left="0" w:leftChars="0" w:firstLine="0" w:firstLineChars="0"/>
        <w:jc w:val="center"/>
        <w:rPr>
          <w:rFonts w:hint="eastAsia" w:ascii="方正小标宋简体" w:hAnsi="仿宋_GB2312" w:eastAsia="方正小标宋简体" w:cs="仿宋_GB2312"/>
          <w:b w:val="0"/>
          <w:bCs w:val="0"/>
          <w:sz w:val="44"/>
          <w:szCs w:val="44"/>
          <w:lang w:val="en-US" w:eastAsia="zh-CN"/>
        </w:rPr>
      </w:pPr>
    </w:p>
    <w:p>
      <w:pPr>
        <w:keepNext w:val="0"/>
        <w:keepLines w:val="0"/>
        <w:pageBreakBefore w:val="0"/>
        <w:kinsoku/>
        <w:wordWrap/>
        <w:overflowPunct/>
        <w:topLinePunct w:val="0"/>
        <w:bidi w:val="0"/>
        <w:snapToGrid/>
        <w:spacing w:line="360" w:lineRule="auto"/>
        <w:ind w:left="0" w:leftChars="0" w:firstLine="0" w:firstLineChars="0"/>
        <w:jc w:val="center"/>
        <w:rPr>
          <w:rFonts w:hint="eastAsia" w:ascii="方正小标宋简体" w:hAnsi="仿宋_GB2312" w:eastAsia="方正小标宋简体" w:cs="仿宋_GB2312"/>
          <w:b w:val="0"/>
          <w:bCs w:val="0"/>
          <w:sz w:val="44"/>
          <w:szCs w:val="44"/>
          <w:lang w:val="en-US" w:eastAsia="zh-CN"/>
        </w:rPr>
      </w:pPr>
      <w:r>
        <w:rPr>
          <w:rFonts w:hint="eastAsia" w:ascii="方正小标宋简体" w:hAnsi="仿宋_GB2312" w:eastAsia="方正小标宋简体" w:cs="仿宋_GB2312"/>
          <w:b w:val="0"/>
          <w:bCs w:val="0"/>
          <w:sz w:val="44"/>
          <w:szCs w:val="44"/>
          <w:lang w:val="en-US" w:eastAsia="zh-CN"/>
        </w:rPr>
        <w:t>宁武县扶贫开发办公室2020年易地扶贫搬迁</w:t>
      </w:r>
    </w:p>
    <w:p>
      <w:pPr>
        <w:keepNext w:val="0"/>
        <w:keepLines w:val="0"/>
        <w:pageBreakBefore w:val="0"/>
        <w:kinsoku/>
        <w:wordWrap/>
        <w:overflowPunct/>
        <w:topLinePunct w:val="0"/>
        <w:bidi w:val="0"/>
        <w:snapToGrid/>
        <w:spacing w:line="360" w:lineRule="auto"/>
        <w:ind w:left="0" w:leftChars="0" w:firstLine="0" w:firstLineChars="0"/>
        <w:jc w:val="center"/>
        <w:rPr>
          <w:rFonts w:ascii="方正小标宋简体" w:hAnsi="仿宋_GB2312" w:eastAsia="方正小标宋简体" w:cs="仿宋_GB2312"/>
          <w:b w:val="0"/>
          <w:bCs w:val="0"/>
          <w:sz w:val="44"/>
          <w:szCs w:val="44"/>
        </w:rPr>
      </w:pPr>
      <w:r>
        <w:rPr>
          <w:rFonts w:hint="eastAsia" w:ascii="方正小标宋简体" w:hAnsi="仿宋_GB2312" w:eastAsia="方正小标宋简体" w:cs="仿宋_GB2312"/>
          <w:b w:val="0"/>
          <w:bCs w:val="0"/>
          <w:sz w:val="44"/>
          <w:szCs w:val="44"/>
          <w:lang w:val="en-US" w:eastAsia="zh-CN"/>
        </w:rPr>
        <w:t>工程项目支出</w:t>
      </w:r>
      <w:r>
        <w:rPr>
          <w:rFonts w:hint="eastAsia" w:ascii="方正小标宋简体" w:hAnsi="仿宋_GB2312" w:eastAsia="方正小标宋简体" w:cs="仿宋_GB2312"/>
          <w:b w:val="0"/>
          <w:bCs w:val="0"/>
          <w:sz w:val="44"/>
          <w:szCs w:val="44"/>
        </w:rPr>
        <w:t>绩效评价报告</w:t>
      </w:r>
    </w:p>
    <w:p>
      <w:pPr>
        <w:keepNext w:val="0"/>
        <w:keepLines w:val="0"/>
        <w:pageBreakBefore w:val="0"/>
        <w:kinsoku/>
        <w:wordWrap/>
        <w:overflowPunct/>
        <w:topLinePunct w:val="0"/>
        <w:bidi w:val="0"/>
        <w:snapToGrid/>
        <w:spacing w:line="360" w:lineRule="auto"/>
        <w:ind w:left="0" w:leftChars="0" w:firstLine="562"/>
        <w:rPr>
          <w:rFonts w:hAnsi="仿宋_GB2312" w:cs="仿宋_GB2312"/>
          <w:b/>
          <w:bCs/>
          <w:szCs w:val="28"/>
        </w:rPr>
      </w:pPr>
    </w:p>
    <w:p>
      <w:pPr>
        <w:keepNext w:val="0"/>
        <w:keepLines w:val="0"/>
        <w:pageBreakBefore w:val="0"/>
        <w:kinsoku/>
        <w:wordWrap/>
        <w:overflowPunct/>
        <w:topLinePunct w:val="0"/>
        <w:bidi w:val="0"/>
        <w:snapToGrid/>
        <w:spacing w:line="360" w:lineRule="auto"/>
        <w:ind w:left="0" w:leftChars="0" w:firstLine="562"/>
        <w:jc w:val="center"/>
        <w:rPr>
          <w:rFonts w:hAnsi="仿宋_GB2312" w:cs="仿宋_GB2312"/>
          <w:b/>
          <w:bCs/>
          <w:szCs w:val="28"/>
        </w:rPr>
      </w:pPr>
    </w:p>
    <w:p>
      <w:pPr>
        <w:keepNext w:val="0"/>
        <w:keepLines w:val="0"/>
        <w:pageBreakBefore w:val="0"/>
        <w:kinsoku/>
        <w:wordWrap/>
        <w:overflowPunct/>
        <w:topLinePunct w:val="0"/>
        <w:bidi w:val="0"/>
        <w:snapToGrid/>
        <w:spacing w:line="360" w:lineRule="auto"/>
        <w:ind w:left="0" w:leftChars="0" w:firstLine="562"/>
        <w:jc w:val="center"/>
        <w:rPr>
          <w:rFonts w:hAnsi="仿宋_GB2312" w:cs="仿宋_GB2312"/>
          <w:b/>
          <w:bCs/>
          <w:szCs w:val="28"/>
        </w:rPr>
      </w:pPr>
    </w:p>
    <w:p>
      <w:pPr>
        <w:keepNext w:val="0"/>
        <w:keepLines w:val="0"/>
        <w:pageBreakBefore w:val="0"/>
        <w:kinsoku/>
        <w:wordWrap/>
        <w:overflowPunct/>
        <w:topLinePunct w:val="0"/>
        <w:bidi w:val="0"/>
        <w:snapToGrid/>
        <w:spacing w:line="360" w:lineRule="auto"/>
        <w:ind w:left="0" w:leftChars="0" w:firstLine="562"/>
        <w:jc w:val="center"/>
        <w:rPr>
          <w:rFonts w:hAnsi="仿宋_GB2312" w:cs="仿宋_GB2312"/>
          <w:b/>
          <w:bCs/>
          <w:szCs w:val="28"/>
        </w:rPr>
      </w:pPr>
    </w:p>
    <w:p>
      <w:pPr>
        <w:pStyle w:val="2"/>
        <w:keepNext w:val="0"/>
        <w:keepLines w:val="0"/>
        <w:pageBreakBefore w:val="0"/>
        <w:kinsoku/>
        <w:wordWrap/>
        <w:overflowPunct/>
        <w:topLinePunct w:val="0"/>
        <w:bidi w:val="0"/>
        <w:snapToGrid/>
        <w:spacing w:before="0" w:line="360" w:lineRule="auto"/>
        <w:ind w:left="0" w:leftChars="0" w:firstLine="560"/>
      </w:pPr>
    </w:p>
    <w:p>
      <w:pPr>
        <w:keepNext w:val="0"/>
        <w:keepLines w:val="0"/>
        <w:pageBreakBefore w:val="0"/>
        <w:kinsoku/>
        <w:wordWrap/>
        <w:overflowPunct/>
        <w:topLinePunct w:val="0"/>
        <w:autoSpaceDE w:val="0"/>
        <w:autoSpaceDN w:val="0"/>
        <w:bidi w:val="0"/>
        <w:adjustRightInd w:val="0"/>
        <w:snapToGrid/>
        <w:spacing w:line="360" w:lineRule="auto"/>
        <w:ind w:left="0" w:leftChars="0" w:firstLine="562"/>
        <w:rPr>
          <w:rFonts w:hint="eastAsia" w:ascii="黑体" w:hAnsi="黑体" w:eastAsia="黑体" w:cs="黑体"/>
          <w:b w:val="0"/>
          <w:bCs/>
          <w:kern w:val="0"/>
          <w:sz w:val="32"/>
          <w:szCs w:val="32"/>
        </w:rPr>
      </w:pPr>
    </w:p>
    <w:p>
      <w:pPr>
        <w:keepNext w:val="0"/>
        <w:keepLines w:val="0"/>
        <w:pageBreakBefore w:val="0"/>
        <w:kinsoku/>
        <w:wordWrap/>
        <w:overflowPunct/>
        <w:topLinePunct w:val="0"/>
        <w:autoSpaceDE w:val="0"/>
        <w:autoSpaceDN w:val="0"/>
        <w:bidi w:val="0"/>
        <w:adjustRightInd w:val="0"/>
        <w:snapToGrid/>
        <w:spacing w:line="360" w:lineRule="auto"/>
        <w:ind w:left="0" w:leftChars="0" w:firstLine="562"/>
        <w:rPr>
          <w:rFonts w:hint="eastAsia" w:ascii="黑体" w:hAnsi="黑体" w:eastAsia="黑体" w:cs="黑体"/>
          <w:b w:val="0"/>
          <w:bCs/>
          <w:kern w:val="0"/>
          <w:sz w:val="32"/>
          <w:szCs w:val="32"/>
        </w:rPr>
      </w:pPr>
    </w:p>
    <w:p>
      <w:pPr>
        <w:keepNext w:val="0"/>
        <w:keepLines w:val="0"/>
        <w:pageBreakBefore w:val="0"/>
        <w:kinsoku/>
        <w:wordWrap/>
        <w:overflowPunct/>
        <w:topLinePunct w:val="0"/>
        <w:autoSpaceDE w:val="0"/>
        <w:autoSpaceDN w:val="0"/>
        <w:bidi w:val="0"/>
        <w:adjustRightInd w:val="0"/>
        <w:snapToGrid/>
        <w:spacing w:line="360" w:lineRule="auto"/>
        <w:ind w:left="0" w:leftChars="0" w:firstLine="1600" w:firstLineChars="500"/>
        <w:rPr>
          <w:rFonts w:hint="default" w:ascii="黑体" w:hAnsi="黑体" w:eastAsia="黑体" w:cs="黑体"/>
          <w:b w:val="0"/>
          <w:bCs/>
          <w:kern w:val="0"/>
          <w:sz w:val="32"/>
          <w:szCs w:val="32"/>
          <w:lang w:val="en-US"/>
        </w:rPr>
      </w:pPr>
      <w:r>
        <w:rPr>
          <w:rFonts w:hint="eastAsia" w:ascii="黑体" w:hAnsi="黑体" w:eastAsia="黑体" w:cs="黑体"/>
          <w:b w:val="0"/>
          <w:bCs/>
          <w:kern w:val="0"/>
          <w:sz w:val="32"/>
          <w:szCs w:val="32"/>
          <w:lang w:val="en-US" w:eastAsia="zh-CN"/>
        </w:rPr>
        <w:t>单位名称：宁武县扶贫开发办公室</w:t>
      </w:r>
    </w:p>
    <w:p>
      <w:pPr>
        <w:keepNext w:val="0"/>
        <w:keepLines w:val="0"/>
        <w:pageBreakBefore w:val="0"/>
        <w:kinsoku/>
        <w:wordWrap/>
        <w:overflowPunct/>
        <w:topLinePunct w:val="0"/>
        <w:autoSpaceDE w:val="0"/>
        <w:autoSpaceDN w:val="0"/>
        <w:bidi w:val="0"/>
        <w:adjustRightInd w:val="0"/>
        <w:snapToGrid/>
        <w:spacing w:line="360" w:lineRule="auto"/>
        <w:ind w:left="0" w:leftChars="0" w:firstLine="1600" w:firstLineChars="500"/>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rPr>
        <w:t>委托单位：</w:t>
      </w:r>
      <w:r>
        <w:rPr>
          <w:rFonts w:hint="eastAsia" w:ascii="黑体" w:hAnsi="黑体" w:eastAsia="黑体" w:cs="黑体"/>
          <w:b w:val="0"/>
          <w:bCs/>
          <w:kern w:val="0"/>
          <w:sz w:val="32"/>
          <w:szCs w:val="32"/>
          <w:lang w:val="en-US" w:eastAsia="zh-CN"/>
        </w:rPr>
        <w:t>宁武县财政局</w:t>
      </w:r>
    </w:p>
    <w:p>
      <w:pPr>
        <w:keepNext w:val="0"/>
        <w:keepLines w:val="0"/>
        <w:pageBreakBefore w:val="0"/>
        <w:kinsoku/>
        <w:wordWrap/>
        <w:overflowPunct/>
        <w:topLinePunct w:val="0"/>
        <w:autoSpaceDE w:val="0"/>
        <w:autoSpaceDN w:val="0"/>
        <w:bidi w:val="0"/>
        <w:adjustRightInd w:val="0"/>
        <w:snapToGrid/>
        <w:spacing w:line="360" w:lineRule="auto"/>
        <w:ind w:left="0" w:leftChars="0" w:firstLine="1600" w:firstLineChars="5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评价机构：</w:t>
      </w:r>
      <w:r>
        <w:rPr>
          <w:rFonts w:hint="eastAsia" w:ascii="黑体" w:hAnsi="黑体" w:eastAsia="黑体" w:cs="黑体"/>
          <w:b w:val="0"/>
          <w:bCs/>
          <w:sz w:val="32"/>
          <w:szCs w:val="32"/>
        </w:rPr>
        <w:t>山西亚泰会计师事务所有限公司</w:t>
      </w:r>
    </w:p>
    <w:p>
      <w:pPr>
        <w:pStyle w:val="2"/>
        <w:keepNext w:val="0"/>
        <w:keepLines w:val="0"/>
        <w:pageBreakBefore w:val="0"/>
        <w:kinsoku/>
        <w:wordWrap/>
        <w:overflowPunct/>
        <w:topLinePunct w:val="0"/>
        <w:bidi w:val="0"/>
        <w:snapToGrid/>
        <w:spacing w:before="0" w:line="360" w:lineRule="auto"/>
        <w:ind w:left="0" w:leftChars="0" w:firstLine="560"/>
        <w:rPr>
          <w:rFonts w:hint="eastAsia" w:ascii="黑体" w:hAnsi="黑体" w:eastAsia="黑体" w:cs="黑体"/>
          <w:b w:val="0"/>
          <w:bCs/>
          <w:kern w:val="0"/>
          <w:sz w:val="32"/>
          <w:szCs w:val="32"/>
        </w:rPr>
      </w:pPr>
    </w:p>
    <w:p>
      <w:pPr>
        <w:rPr>
          <w:rFonts w:hint="eastAsia" w:ascii="黑体" w:hAnsi="黑体" w:eastAsia="黑体" w:cs="黑体"/>
          <w:b w:val="0"/>
          <w:bCs/>
          <w:kern w:val="0"/>
          <w:sz w:val="32"/>
          <w:szCs w:val="32"/>
        </w:rPr>
      </w:pPr>
    </w:p>
    <w:p>
      <w:pPr>
        <w:pStyle w:val="2"/>
        <w:rPr>
          <w:rFonts w:hint="eastAsia" w:ascii="黑体" w:hAnsi="黑体" w:eastAsia="黑体" w:cs="黑体"/>
          <w:b w:val="0"/>
          <w:bCs/>
          <w:kern w:val="0"/>
          <w:sz w:val="32"/>
          <w:szCs w:val="32"/>
        </w:rPr>
      </w:pPr>
    </w:p>
    <w:p>
      <w:pPr>
        <w:rPr>
          <w:rFonts w:hint="eastAsia"/>
        </w:rPr>
      </w:pPr>
    </w:p>
    <w:p>
      <w:pPr>
        <w:pStyle w:val="2"/>
        <w:keepNext w:val="0"/>
        <w:keepLines w:val="0"/>
        <w:pageBreakBefore w:val="0"/>
        <w:kinsoku/>
        <w:wordWrap/>
        <w:overflowPunct/>
        <w:topLinePunct w:val="0"/>
        <w:bidi w:val="0"/>
        <w:snapToGrid/>
        <w:spacing w:before="0" w:line="360" w:lineRule="auto"/>
        <w:ind w:left="0" w:leftChars="0" w:firstLine="0" w:firstLineChars="0"/>
        <w:jc w:val="center"/>
        <w:rPr>
          <w:rFonts w:hint="eastAsia" w:ascii="黑体" w:hAnsi="黑体" w:eastAsia="黑体" w:cs="黑体"/>
          <w:b w:val="0"/>
          <w:bCs/>
          <w:sz w:val="32"/>
          <w:szCs w:val="32"/>
        </w:rPr>
        <w:sectPr>
          <w:headerReference r:id="rId5" w:type="default"/>
          <w:footerReference r:id="rId6" w:type="default"/>
          <w:pgSz w:w="11906" w:h="16838"/>
          <w:pgMar w:top="2041" w:right="1418" w:bottom="1418" w:left="1531"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黑体" w:hAnsi="黑体" w:eastAsia="黑体" w:cs="黑体"/>
          <w:b w:val="0"/>
          <w:bCs/>
          <w:sz w:val="32"/>
          <w:szCs w:val="32"/>
        </w:rPr>
        <w:t>二〇二</w:t>
      </w: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年</w:t>
      </w: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月</w:t>
      </w:r>
    </w:p>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宁武县扶贫开发办公室2020年易地扶贫搬迁工程</w:t>
      </w:r>
    </w:p>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项目支出绩效评价报告</w:t>
      </w:r>
    </w:p>
    <w:p>
      <w:pPr>
        <w:keepNext w:val="0"/>
        <w:keepLines w:val="0"/>
        <w:pageBreakBefore w:val="0"/>
        <w:kinsoku/>
        <w:wordWrap/>
        <w:overflowPunct/>
        <w:topLinePunct w:val="0"/>
        <w:bidi w:val="0"/>
        <w:snapToGrid/>
        <w:outlineLvl w:val="9"/>
        <w:rPr>
          <w:rFonts w:hint="eastAsia" w:ascii="黑体" w:hAnsi="黑体" w:eastAsia="黑体" w:cs="黑体"/>
          <w:sz w:val="28"/>
          <w:szCs w:val="28"/>
          <w:lang w:val="en-US" w:eastAsia="zh-CN"/>
        </w:rPr>
      </w:pPr>
      <w:r>
        <w:rPr>
          <w:rFonts w:hint="eastAsia" w:ascii="仿宋_GB2312" w:hAnsi="仿宋_GB2312" w:eastAsia="仿宋_GB2312" w:cs="仿宋_GB2312"/>
          <w:kern w:val="2"/>
          <w:sz w:val="28"/>
          <w:szCs w:val="24"/>
          <w:lang w:val="en-US" w:eastAsia="zh-CN" w:bidi="ar-SA"/>
        </w:rPr>
        <w:t>为深入贯彻落实《</w:t>
      </w:r>
      <w:r>
        <w:rPr>
          <w:rFonts w:hint="eastAsia" w:hAnsi="仿宋_GB2312" w:cs="仿宋_GB2312"/>
          <w:kern w:val="2"/>
          <w:sz w:val="28"/>
          <w:szCs w:val="24"/>
          <w:lang w:val="en-US" w:eastAsia="zh-CN" w:bidi="ar-SA"/>
        </w:rPr>
        <w:t>中共宁武县委 宁武县人民政府关于全面实施预算绩效管理的实施办法</w:t>
      </w:r>
      <w:r>
        <w:rPr>
          <w:rFonts w:hint="eastAsia" w:ascii="仿宋_GB2312" w:hAnsi="仿宋_GB2312" w:eastAsia="仿宋_GB2312" w:cs="仿宋_GB2312"/>
          <w:kern w:val="2"/>
          <w:sz w:val="28"/>
          <w:szCs w:val="24"/>
          <w:lang w:val="en-US" w:eastAsia="zh-CN" w:bidi="ar-SA"/>
        </w:rPr>
        <w:t>》（</w:t>
      </w:r>
      <w:r>
        <w:rPr>
          <w:rFonts w:hint="eastAsia" w:hAnsi="仿宋_GB2312" w:cs="仿宋_GB2312"/>
          <w:kern w:val="2"/>
          <w:sz w:val="28"/>
          <w:szCs w:val="24"/>
          <w:lang w:val="en-US" w:eastAsia="zh-CN" w:bidi="ar-SA"/>
        </w:rPr>
        <w:t>宁</w:t>
      </w:r>
      <w:r>
        <w:rPr>
          <w:rFonts w:hint="eastAsia" w:ascii="仿宋_GB2312" w:hAnsi="仿宋_GB2312" w:eastAsia="仿宋_GB2312" w:cs="仿宋_GB2312"/>
          <w:kern w:val="2"/>
          <w:sz w:val="28"/>
          <w:szCs w:val="24"/>
          <w:lang w:val="en-US" w:eastAsia="zh-CN" w:bidi="ar-SA"/>
        </w:rPr>
        <w:t>发〔20</w:t>
      </w:r>
      <w:r>
        <w:rPr>
          <w:rFonts w:hint="eastAsia" w:hAnsi="仿宋_GB2312" w:cs="仿宋_GB2312"/>
          <w:kern w:val="2"/>
          <w:sz w:val="28"/>
          <w:szCs w:val="24"/>
          <w:lang w:val="en-US" w:eastAsia="zh-CN" w:bidi="ar-SA"/>
        </w:rPr>
        <w:t>20</w:t>
      </w:r>
      <w:r>
        <w:rPr>
          <w:rFonts w:hint="eastAsia" w:ascii="仿宋_GB2312" w:hAnsi="仿宋_GB2312" w:eastAsia="仿宋_GB2312" w:cs="仿宋_GB2312"/>
          <w:kern w:val="2"/>
          <w:sz w:val="28"/>
          <w:szCs w:val="24"/>
          <w:lang w:val="en-US" w:eastAsia="zh-CN" w:bidi="ar-SA"/>
        </w:rPr>
        <w:t>〕</w:t>
      </w:r>
      <w:r>
        <w:rPr>
          <w:rFonts w:hint="eastAsia" w:hAnsi="仿宋_GB2312" w:cs="仿宋_GB2312"/>
          <w:kern w:val="2"/>
          <w:sz w:val="28"/>
          <w:szCs w:val="24"/>
          <w:lang w:val="en-US" w:eastAsia="zh-CN" w:bidi="ar-SA"/>
        </w:rPr>
        <w:t>22</w:t>
      </w:r>
      <w:r>
        <w:rPr>
          <w:rFonts w:hint="eastAsia" w:ascii="仿宋_GB2312" w:hAnsi="仿宋_GB2312" w:eastAsia="仿宋_GB2312" w:cs="仿宋_GB2312"/>
          <w:kern w:val="2"/>
          <w:sz w:val="28"/>
          <w:szCs w:val="24"/>
          <w:lang w:val="en-US" w:eastAsia="zh-CN" w:bidi="ar-SA"/>
        </w:rPr>
        <w:t>号），全面实施预算绩效管理，提高财政资源配置效率和使用效益，增强财政支出的责任和效率意识，</w:t>
      </w:r>
      <w:r>
        <w:rPr>
          <w:rFonts w:hint="eastAsia" w:ascii="仿宋_GB2312" w:hAnsi="仿宋_GB2312" w:eastAsia="仿宋_GB2312" w:cs="仿宋_GB2312"/>
          <w:sz w:val="28"/>
          <w:szCs w:val="28"/>
          <w:lang w:val="en-US" w:eastAsia="zh-CN"/>
        </w:rPr>
        <w:t>根据《</w:t>
      </w:r>
      <w:r>
        <w:rPr>
          <w:rFonts w:hint="eastAsia" w:hAnsi="仿宋_GB2312" w:cs="仿宋_GB2312"/>
          <w:sz w:val="28"/>
          <w:szCs w:val="28"/>
          <w:lang w:val="en-US" w:eastAsia="zh-CN"/>
        </w:rPr>
        <w:t>关于开展2020年度项目支出绩效评价工作的通知</w:t>
      </w:r>
      <w:r>
        <w:rPr>
          <w:rFonts w:hint="eastAsia" w:ascii="仿宋_GB2312" w:hAnsi="仿宋_GB2312" w:eastAsia="仿宋_GB2312" w:cs="仿宋_GB2312"/>
          <w:sz w:val="28"/>
          <w:szCs w:val="28"/>
          <w:lang w:val="en-US" w:eastAsia="zh-CN"/>
        </w:rPr>
        <w:t>》</w:t>
      </w:r>
      <w:r>
        <w:rPr>
          <w:rFonts w:hint="eastAsia" w:hAnsi="仿宋_GB2312" w:cs="仿宋_GB2312"/>
          <w:sz w:val="28"/>
          <w:szCs w:val="28"/>
          <w:lang w:val="en-US" w:eastAsia="zh-CN"/>
        </w:rPr>
        <w:t>（宁财字〔2021〕13号）</w:t>
      </w:r>
      <w:r>
        <w:rPr>
          <w:rFonts w:hint="eastAsia" w:ascii="仿宋_GB2312" w:hAnsi="仿宋_GB2312" w:eastAsia="仿宋_GB2312" w:cs="仿宋_GB2312"/>
          <w:sz w:val="28"/>
          <w:szCs w:val="28"/>
          <w:lang w:val="en-US" w:eastAsia="zh-CN"/>
        </w:rPr>
        <w:t>，受</w:t>
      </w:r>
      <w:r>
        <w:rPr>
          <w:rFonts w:hint="eastAsia" w:hAnsi="仿宋_GB2312" w:cs="仿宋_GB2312"/>
          <w:sz w:val="28"/>
          <w:szCs w:val="28"/>
          <w:lang w:val="en-US" w:eastAsia="zh-CN"/>
        </w:rPr>
        <w:t>宁武县财政局</w:t>
      </w:r>
      <w:r>
        <w:rPr>
          <w:rFonts w:hint="eastAsia" w:ascii="仿宋_GB2312" w:hAnsi="仿宋_GB2312" w:eastAsia="仿宋_GB2312" w:cs="仿宋_GB2312"/>
          <w:sz w:val="28"/>
          <w:szCs w:val="28"/>
          <w:lang w:val="en-US" w:eastAsia="zh-CN"/>
        </w:rPr>
        <w:t>委托，</w:t>
      </w:r>
      <w:r>
        <w:rPr>
          <w:rFonts w:hint="eastAsia" w:hAnsi="仿宋_GB2312" w:cs="仿宋_GB2312"/>
          <w:sz w:val="28"/>
          <w:szCs w:val="28"/>
          <w:lang w:val="en-US" w:eastAsia="zh-CN"/>
        </w:rPr>
        <w:t>山西亚泰会计师事务所有限公司</w:t>
      </w:r>
      <w:r>
        <w:rPr>
          <w:rFonts w:hint="eastAsia" w:ascii="仿宋_GB2312" w:hAnsi="仿宋_GB2312" w:eastAsia="仿宋_GB2312" w:cs="仿宋_GB2312"/>
          <w:kern w:val="2"/>
          <w:sz w:val="28"/>
          <w:szCs w:val="24"/>
          <w:lang w:val="en-US" w:eastAsia="zh-CN" w:bidi="ar-SA"/>
        </w:rPr>
        <w:t>于</w:t>
      </w:r>
      <w:r>
        <w:rPr>
          <w:rFonts w:hint="eastAsia" w:hAnsi="仿宋_GB2312" w:cs="仿宋_GB2312"/>
          <w:kern w:val="2"/>
          <w:sz w:val="28"/>
          <w:szCs w:val="24"/>
          <w:lang w:val="en-US" w:eastAsia="zh-CN" w:bidi="ar-SA"/>
        </w:rPr>
        <w:t>2021</w:t>
      </w:r>
      <w:r>
        <w:rPr>
          <w:rFonts w:hint="eastAsia" w:ascii="仿宋_GB2312" w:hAnsi="仿宋_GB2312" w:eastAsia="仿宋_GB2312" w:cs="仿宋_GB2312"/>
          <w:kern w:val="2"/>
          <w:sz w:val="28"/>
          <w:szCs w:val="24"/>
          <w:lang w:val="en-US" w:eastAsia="zh-CN" w:bidi="ar-SA"/>
        </w:rPr>
        <w:t>年</w:t>
      </w:r>
      <w:r>
        <w:rPr>
          <w:rFonts w:hint="eastAsia" w:hAnsi="仿宋_GB2312" w:cs="仿宋_GB2312"/>
          <w:kern w:val="2"/>
          <w:sz w:val="28"/>
          <w:szCs w:val="24"/>
          <w:lang w:val="en-US" w:eastAsia="zh-CN" w:bidi="ar-SA"/>
        </w:rPr>
        <w:t>10</w:t>
      </w:r>
      <w:r>
        <w:rPr>
          <w:rFonts w:hint="eastAsia" w:ascii="仿宋_GB2312" w:hAnsi="仿宋_GB2312" w:eastAsia="仿宋_GB2312" w:cs="仿宋_GB2312"/>
          <w:kern w:val="2"/>
          <w:sz w:val="28"/>
          <w:szCs w:val="24"/>
          <w:lang w:val="en-US" w:eastAsia="zh-CN" w:bidi="ar-SA"/>
        </w:rPr>
        <w:t>月对</w:t>
      </w:r>
      <w:r>
        <w:rPr>
          <w:rFonts w:hint="eastAsia" w:hAnsi="仿宋_GB2312" w:cs="仿宋_GB2312"/>
          <w:sz w:val="28"/>
          <w:szCs w:val="28"/>
          <w:lang w:val="en-US" w:eastAsia="zh-CN"/>
        </w:rPr>
        <w:t>宁武县扶贫开发办公室2020年易地扶贫搬迁工程项目支出</w:t>
      </w:r>
      <w:r>
        <w:rPr>
          <w:rFonts w:hint="eastAsia" w:ascii="仿宋_GB2312" w:hAnsi="仿宋_GB2312" w:eastAsia="仿宋_GB2312" w:cs="仿宋_GB2312"/>
          <w:sz w:val="28"/>
          <w:szCs w:val="28"/>
          <w:lang w:val="en-US" w:eastAsia="zh-CN"/>
        </w:rPr>
        <w:t>进行了绩效评价。</w:t>
      </w:r>
    </w:p>
    <w:p>
      <w:pPr>
        <w:keepNext w:val="0"/>
        <w:keepLines w:val="0"/>
        <w:pageBreakBefore w:val="0"/>
        <w:kinsoku/>
        <w:wordWrap/>
        <w:overflowPunct/>
        <w:topLinePunct w:val="0"/>
        <w:bidi w:val="0"/>
        <w:snapToGrid/>
        <w:outlineLvl w:val="0"/>
        <w:rPr>
          <w:rFonts w:hint="eastAsia" w:ascii="黑体" w:hAnsi="黑体" w:eastAsia="黑体" w:cs="黑体"/>
          <w:sz w:val="28"/>
          <w:szCs w:val="28"/>
          <w:lang w:val="en-US" w:eastAsia="zh-CN"/>
        </w:rPr>
      </w:pPr>
      <w:bookmarkStart w:id="0" w:name="_Toc13783"/>
      <w:r>
        <w:rPr>
          <w:rFonts w:hint="eastAsia" w:ascii="黑体" w:hAnsi="黑体" w:eastAsia="黑体" w:cs="黑体"/>
          <w:sz w:val="28"/>
          <w:szCs w:val="28"/>
          <w:lang w:val="en-US" w:eastAsia="zh-CN"/>
        </w:rPr>
        <w:t>一、项目基本情况</w:t>
      </w:r>
      <w:bookmarkEnd w:id="0"/>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eastAsia="楷体_GB2312" w:hAnsiTheme="majorHAnsi" w:cstheme="majorBidi"/>
          <w:bCs/>
          <w:kern w:val="2"/>
          <w:sz w:val="28"/>
          <w:szCs w:val="32"/>
          <w:lang w:val="en-US" w:eastAsia="zh-CN" w:bidi="ar-SA"/>
        </w:rPr>
      </w:pPr>
      <w:bookmarkStart w:id="1" w:name="_Toc7225"/>
      <w:r>
        <w:rPr>
          <w:rFonts w:hint="eastAsia" w:ascii="楷体_GB2312" w:eastAsia="楷体_GB2312" w:hAnsiTheme="majorHAnsi" w:cstheme="majorBidi"/>
          <w:bCs/>
          <w:kern w:val="2"/>
          <w:sz w:val="28"/>
          <w:szCs w:val="32"/>
          <w:lang w:val="en-US" w:eastAsia="zh-CN" w:bidi="ar-SA"/>
        </w:rPr>
        <w:t>（一）项目概况</w:t>
      </w:r>
      <w:bookmarkEnd w:id="1"/>
    </w:p>
    <w:p>
      <w:pPr>
        <w:pStyle w:val="5"/>
        <w:bidi w:val="0"/>
        <w:rPr>
          <w:rFonts w:hint="eastAsia"/>
          <w:lang w:val="en-US" w:eastAsia="zh-CN"/>
        </w:rPr>
      </w:pPr>
      <w:r>
        <w:rPr>
          <w:rFonts w:hint="eastAsia"/>
          <w:lang w:val="en-US" w:eastAsia="zh-CN"/>
        </w:rPr>
        <w:t>1.项目背景</w:t>
      </w:r>
    </w:p>
    <w:p>
      <w:pPr>
        <w:keepNext w:val="0"/>
        <w:keepLines w:val="0"/>
        <w:pageBreakBefore w:val="0"/>
        <w:kinsoku/>
        <w:wordWrap/>
        <w:overflowPunct/>
        <w:topLinePunct w:val="0"/>
        <w:bidi w:val="0"/>
        <w:snapToGrid/>
        <w:rPr>
          <w:rFonts w:hint="eastAsia"/>
          <w:lang w:val="en-US" w:eastAsia="zh-CN"/>
        </w:rPr>
      </w:pPr>
      <w:r>
        <w:rPr>
          <w:rFonts w:hint="eastAsia"/>
          <w:lang w:val="en-US" w:eastAsia="zh-CN"/>
        </w:rPr>
        <w:t>根据中共中央国务院印发的《中国农村扶贫开发纲要（2011-2020年）》要求：“坚持自愿原则，对生存条件恶劣地区扶贫对象实行易地扶贫搬迁。引导其他移民搬迁项目优先在符合条件的贫困地区实施，加强与易地扶贫搬迁项目的衔接，共同促进改善贫困群众的生产生活环境。充分考虑资源条件，因地制宜，有序搬迁，改善生存与发展条件，着力培育和发展后续产业。有条件的地方引导向中小城镇、工业园区移民，创造就业机会，提高就业能力。加强统筹协调，切实解决搬迁群众在生产生活等方面的困难和问题，确保搬得出、稳得住、能发展、可致富。</w:t>
      </w:r>
      <w:bookmarkStart w:id="30" w:name="_GoBack"/>
      <w:bookmarkEnd w:id="30"/>
      <w:r>
        <w:rPr>
          <w:rFonts w:hint="eastAsia"/>
          <w:lang w:val="en-US" w:eastAsia="zh-CN"/>
        </w:rPr>
        <w:t>”易地扶贫搬迁工程项目是农村扶贫工作的重要组成，关乎千万农村贫困人口的生产生活，开展易地扶贫搬迁工程项目，是实现脱贫致富的基础条件和重要手段。</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eastAsia="仿宋_GB2312" w:hAnsiTheme="minorHAnsi" w:cstheme="minorBidi"/>
          <w:kern w:val="2"/>
          <w:sz w:val="28"/>
          <w:szCs w:val="24"/>
          <w:lang w:val="en-US" w:eastAsia="zh-CN" w:bidi="ar-SA"/>
        </w:rPr>
      </w:pPr>
      <w:r>
        <w:rPr>
          <w:rFonts w:hint="eastAsia" w:ascii="仿宋_GB2312" w:eastAsia="仿宋_GB2312" w:hAnsiTheme="minorHAnsi" w:cstheme="minorBidi"/>
          <w:kern w:val="2"/>
          <w:sz w:val="28"/>
          <w:szCs w:val="24"/>
          <w:lang w:val="en-US" w:eastAsia="zh-CN" w:bidi="ar-SA"/>
        </w:rPr>
        <w:t>根据《全国“十三五”易地扶贫搬迁规划》，为稳妥推进全省易地扶贫搬迁工作，山西省人民政府办公厅印发了《山西省“十三五”时期易地扶贫搬迁实施方案》，对全省易地扶贫搬迁任务目标、搬迁及安置方式、建设内容、建设方式、资金筹措等内容提出了具体要求。</w:t>
      </w:r>
    </w:p>
    <w:p>
      <w:pPr>
        <w:rPr>
          <w:rFonts w:hint="default"/>
          <w:lang w:val="en-US" w:eastAsia="zh-CN"/>
        </w:rPr>
      </w:pPr>
      <w:r>
        <w:rPr>
          <w:rFonts w:hint="eastAsia"/>
          <w:lang w:val="en-US" w:eastAsia="zh-CN"/>
        </w:rPr>
        <w:t>宁武县易地扶贫搬迁工程项目属于延续性项目，2020年主要为三类补助项目，分别为集中装修补助，装修入住奖补及临时安置补助。根据往年易地扶贫搬迁项目缺口资金及2020年计划实施内容，2020年从土地指标跨省域调剂收入中安排了1,660.00 万元。项目由宁武县扶贫开发办公室主管，由各乡（镇）人民政府负责审核实施，各村委为第一道审核线。</w:t>
      </w:r>
    </w:p>
    <w:p>
      <w:pPr>
        <w:pStyle w:val="5"/>
        <w:bidi w:val="0"/>
        <w:rPr>
          <w:rFonts w:hint="eastAsia"/>
          <w:lang w:val="en-US" w:eastAsia="zh-CN"/>
        </w:rPr>
      </w:pPr>
      <w:r>
        <w:rPr>
          <w:rFonts w:hint="eastAsia"/>
          <w:lang w:val="en-US" w:eastAsia="zh-CN"/>
        </w:rPr>
        <w:t>2.项目主要内容</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宁武县扶贫开发办公室2020年易地扶贫搬迁工程项目发放了三类补助，分别为：集中装修补助、装修入住奖补及临时安置补助。</w:t>
      </w:r>
    </w:p>
    <w:p>
      <w:pPr>
        <w:keepNext w:val="0"/>
        <w:keepLines w:val="0"/>
        <w:pageBreakBefore w:val="0"/>
        <w:kinsoku/>
        <w:wordWrap/>
        <w:overflowPunct/>
        <w:topLinePunct w:val="0"/>
        <w:bidi w:val="0"/>
        <w:snapToGrid/>
        <w:rPr>
          <w:rFonts w:hint="eastAsia" w:ascii="仿宋_GB2312" w:hAnsi="仿宋_GB2312" w:eastAsia="仿宋_GB2312" w:cs="仿宋_GB2312"/>
          <w:lang w:val="en-US" w:eastAsia="zh-CN"/>
        </w:rPr>
      </w:pPr>
      <w:r>
        <w:rPr>
          <w:rFonts w:hint="eastAsia" w:hAnsi="仿宋_GB2312" w:cs="仿宋_GB2312"/>
          <w:kern w:val="2"/>
          <w:sz w:val="28"/>
          <w:szCs w:val="24"/>
          <w:lang w:val="en-US" w:eastAsia="zh-CN" w:bidi="ar-SA"/>
        </w:rPr>
        <w:t>补助标准：</w:t>
      </w:r>
      <w:r>
        <w:rPr>
          <w:rFonts w:hint="eastAsia" w:ascii="仿宋_GB2312" w:hAnsi="仿宋_GB2312" w:eastAsia="仿宋_GB2312" w:cs="仿宋_GB2312"/>
          <w:kern w:val="2"/>
          <w:sz w:val="28"/>
          <w:szCs w:val="24"/>
          <w:lang w:val="en-US" w:eastAsia="zh-CN" w:bidi="ar-SA"/>
        </w:rPr>
        <w:t>集中装修补助标准为240元/㎡，装修入住奖补标</w:t>
      </w:r>
      <w:r>
        <w:rPr>
          <w:rFonts w:hint="eastAsia" w:ascii="仿宋_GB2312" w:hAnsi="仿宋_GB2312" w:eastAsia="仿宋_GB2312" w:cs="仿宋_GB2312"/>
          <w:lang w:val="en-US" w:eastAsia="zh-CN"/>
        </w:rPr>
        <w:t>准为150元/㎡（非贫困户50元/㎡），临时安置补助按照1-2人200元、3-4人300元、5人以上400元的补助标准实行。</w:t>
      </w:r>
    </w:p>
    <w:p>
      <w:pPr>
        <w:keepNext w:val="0"/>
        <w:keepLines w:val="0"/>
        <w:pageBreakBefore w:val="0"/>
        <w:kinsoku/>
        <w:wordWrap/>
        <w:overflowPunct/>
        <w:topLinePunct w:val="0"/>
        <w:bidi w:val="0"/>
        <w:snapToGrid/>
        <w:rPr>
          <w:rFonts w:hint="default" w:ascii="仿宋_GB2312" w:hAnsi="仿宋_GB2312" w:eastAsia="仿宋_GB2312" w:cs="仿宋_GB2312"/>
          <w:lang w:val="en-US" w:eastAsia="zh-CN"/>
        </w:rPr>
      </w:pPr>
      <w:r>
        <w:rPr>
          <w:rFonts w:hint="eastAsia" w:hAnsi="仿宋_GB2312" w:cs="仿宋_GB2312"/>
          <w:lang w:val="en-US" w:eastAsia="zh-CN"/>
        </w:rPr>
        <w:t>完成情况：2020年共发放1800余户易地扶贫搬迁补助资金，其中集中装修补助项目共有42人签订了集中装修委托协议书，实际装修42户，补助资金发放完成率100%；装修入住奖补项目经村委、乡镇（镇）、县扶贫办审核通过1000余户，奖补资金全部发放到户，补助资金发放完成率100%；临时安置补助乡镇通过审核共计800户，实际补助800户，安置补助资金发放完成率100%。</w:t>
      </w:r>
    </w:p>
    <w:p>
      <w:pPr>
        <w:pStyle w:val="5"/>
        <w:bidi w:val="0"/>
        <w:rPr>
          <w:rFonts w:hint="eastAsia"/>
          <w:lang w:val="en-US" w:eastAsia="zh-CN"/>
        </w:rPr>
      </w:pPr>
      <w:r>
        <w:rPr>
          <w:rFonts w:hint="eastAsia"/>
          <w:lang w:val="en-US" w:eastAsia="zh-CN"/>
        </w:rPr>
        <w:t>3.资金投入及使用情况</w:t>
      </w:r>
    </w:p>
    <w:p>
      <w:pPr>
        <w:keepNext w:val="0"/>
        <w:keepLines w:val="0"/>
        <w:pageBreakBefore w:val="0"/>
        <w:kinsoku/>
        <w:wordWrap/>
        <w:overflowPunct/>
        <w:topLinePunct w:val="0"/>
        <w:bidi w:val="0"/>
        <w:snapToGrid/>
        <w:outlineLvl w:val="9"/>
        <w:rPr>
          <w:rFonts w:hint="default"/>
          <w:lang w:val="en-US" w:eastAsia="zh-CN"/>
        </w:rPr>
      </w:pPr>
      <w:r>
        <w:rPr>
          <w:rFonts w:hint="eastAsia" w:ascii="仿宋_GB2312" w:hAnsi="仿宋_GB2312" w:eastAsia="仿宋_GB2312" w:cs="仿宋_GB2312"/>
          <w:kern w:val="2"/>
          <w:sz w:val="28"/>
          <w:szCs w:val="24"/>
          <w:lang w:val="en-US" w:eastAsia="zh-CN" w:bidi="ar-SA"/>
        </w:rPr>
        <w:t>宁武县扶贫开发办公室2020年易地扶贫搬迁工程项目资金来源为2020年土地指标跨省域调剂收入，安排资金1,660.00 万元，截至评价基准日，共支出资金1,660.00 万元</w:t>
      </w:r>
      <w:r>
        <w:rPr>
          <w:rFonts w:hint="eastAsia" w:hAnsi="仿宋_GB2312" w:cs="仿宋_GB2312"/>
          <w:kern w:val="2"/>
          <w:sz w:val="28"/>
          <w:szCs w:val="24"/>
          <w:lang w:val="en-US" w:eastAsia="zh-CN" w:bidi="ar-SA"/>
        </w:rPr>
        <w:t>，预算执行率100%。</w:t>
      </w:r>
    </w:p>
    <w:p>
      <w:pPr>
        <w:keepNext w:val="0"/>
        <w:keepLines w:val="0"/>
        <w:pageBreakBefore w:val="0"/>
        <w:kinsoku/>
        <w:wordWrap/>
        <w:overflowPunct/>
        <w:topLinePunct w:val="0"/>
        <w:bidi w:val="0"/>
        <w:snapToGrid/>
        <w:outlineLvl w:val="1"/>
        <w:rPr>
          <w:rFonts w:hint="eastAsia" w:ascii="楷体_GB2312" w:eastAsia="楷体_GB2312" w:hAnsiTheme="majorHAnsi" w:cstheme="majorBidi"/>
          <w:bCs/>
          <w:kern w:val="2"/>
          <w:sz w:val="28"/>
          <w:szCs w:val="32"/>
          <w:lang w:val="en-US" w:eastAsia="zh-CN" w:bidi="ar-SA"/>
        </w:rPr>
      </w:pPr>
      <w:bookmarkStart w:id="2" w:name="_Toc226"/>
      <w:r>
        <w:rPr>
          <w:rFonts w:hint="eastAsia" w:ascii="楷体_GB2312" w:eastAsia="楷体_GB2312" w:hAnsiTheme="majorHAnsi" w:cstheme="majorBidi"/>
          <w:bCs/>
          <w:kern w:val="2"/>
          <w:sz w:val="28"/>
          <w:szCs w:val="32"/>
          <w:lang w:val="en-US" w:eastAsia="zh-CN" w:bidi="ar-SA"/>
        </w:rPr>
        <w:t>（二）项目绩效目标</w:t>
      </w:r>
      <w:bookmarkEnd w:id="2"/>
    </w:p>
    <w:p>
      <w:pPr>
        <w:pStyle w:val="5"/>
        <w:bidi w:val="0"/>
        <w:rPr>
          <w:rFonts w:hint="eastAsia"/>
          <w:lang w:val="en-US" w:eastAsia="zh-CN"/>
        </w:rPr>
      </w:pPr>
      <w:r>
        <w:rPr>
          <w:rFonts w:hint="eastAsia"/>
          <w:lang w:val="en-US" w:eastAsia="zh-CN"/>
        </w:rPr>
        <w:t>1.总体目标</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通过实施集中装修补助、装修入住补助和临时安置补助，</w:t>
      </w:r>
      <w:r>
        <w:rPr>
          <w:rFonts w:hint="eastAsia" w:ascii="仿宋_GB2312" w:hAnsi="仿宋_GB2312" w:eastAsia="仿宋_GB2312" w:cs="仿宋_GB2312"/>
          <w:lang w:val="en-US" w:eastAsia="zh-CN"/>
        </w:rPr>
        <w:t>降低搬迁户装修成本，节省装修时间，加快搬迁户入住时间，降低搬迁户无房可住的焦虑心态，节省各户租房费用，保障搬迁户的基本生活需求。</w:t>
      </w:r>
    </w:p>
    <w:p>
      <w:pPr>
        <w:pStyle w:val="5"/>
        <w:bidi w:val="0"/>
        <w:rPr>
          <w:rFonts w:hint="eastAsia"/>
          <w:lang w:val="en-US" w:eastAsia="zh-CN"/>
        </w:rPr>
      </w:pPr>
      <w:r>
        <w:rPr>
          <w:rFonts w:hint="eastAsia"/>
          <w:lang w:val="en-US" w:eastAsia="zh-CN"/>
        </w:rPr>
        <w:t>2.具体目标</w:t>
      </w:r>
    </w:p>
    <w:p>
      <w:pPr>
        <w:keepNext w:val="0"/>
        <w:keepLines w:val="0"/>
        <w:widowControl/>
        <w:suppressLineNumbers w:val="0"/>
        <w:jc w:val="left"/>
        <w:rPr>
          <w:rFonts w:hint="eastAsia"/>
          <w:lang w:val="en-US" w:eastAsia="zh-CN"/>
        </w:rPr>
      </w:pPr>
      <w:r>
        <w:rPr>
          <w:rFonts w:hint="eastAsia"/>
          <w:lang w:val="en-US" w:eastAsia="zh-CN"/>
        </w:rPr>
        <w:t>（1）产出目标：①对符合条件的受补人员应补尽补，应补尽补率达到100%；②在规定时限内完成补助资金的发放；③按规定标准进行补助，没有超标准补助情况的发生。</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eastAsia="仿宋_GB2312" w:hAnsiTheme="minorHAnsi" w:cstheme="minorBidi"/>
          <w:kern w:val="2"/>
          <w:sz w:val="28"/>
          <w:szCs w:val="24"/>
          <w:lang w:val="en-US" w:eastAsia="zh-CN" w:bidi="ar-SA"/>
        </w:rPr>
      </w:pPr>
      <w:r>
        <w:rPr>
          <w:rFonts w:hint="eastAsia" w:ascii="仿宋_GB2312" w:eastAsia="仿宋_GB2312" w:hAnsiTheme="minorHAnsi" w:cstheme="minorBidi"/>
          <w:kern w:val="2"/>
          <w:sz w:val="28"/>
          <w:szCs w:val="24"/>
          <w:lang w:val="en-US" w:eastAsia="zh-CN" w:bidi="ar-SA"/>
        </w:rPr>
        <w:t>（2）效益目标：①保障搬迁户基本生活需求；②降低补助对象投诉数；③完善项目管理制度，建立易地扶贫搬迁可持续发展体系；④群众满意度≥90%。</w:t>
      </w:r>
    </w:p>
    <w:p>
      <w:pPr>
        <w:pStyle w:val="2"/>
        <w:keepNext w:val="0"/>
        <w:keepLines w:val="0"/>
        <w:pageBreakBefore w:val="0"/>
        <w:kinsoku/>
        <w:wordWrap/>
        <w:overflowPunct/>
        <w:topLinePunct w:val="0"/>
        <w:bidi w:val="0"/>
        <w:snapToGrid/>
        <w:spacing w:before="0"/>
        <w:outlineLvl w:val="0"/>
        <w:rPr>
          <w:rFonts w:hint="eastAsia" w:ascii="黑体" w:hAnsi="黑体" w:eastAsia="黑体" w:cs="黑体"/>
          <w:lang w:val="en-US" w:eastAsia="zh-CN"/>
        </w:rPr>
      </w:pPr>
      <w:bookmarkStart w:id="3" w:name="_Toc13989"/>
      <w:r>
        <w:rPr>
          <w:rFonts w:hint="eastAsia" w:ascii="黑体" w:hAnsi="黑体" w:eastAsia="黑体" w:cs="黑体"/>
          <w:lang w:val="en-US" w:eastAsia="zh-CN"/>
        </w:rPr>
        <w:t>二、绩效评价工作情况开展情况</w:t>
      </w:r>
      <w:bookmarkEnd w:id="3"/>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default" w:ascii="楷体_GB2312" w:eastAsia="楷体_GB2312" w:hAnsiTheme="majorHAnsi" w:cstheme="majorBidi"/>
          <w:bCs/>
          <w:kern w:val="2"/>
          <w:sz w:val="28"/>
          <w:szCs w:val="32"/>
          <w:lang w:val="en-US" w:eastAsia="zh-CN" w:bidi="ar-SA"/>
        </w:rPr>
      </w:pPr>
      <w:bookmarkStart w:id="4" w:name="_Toc10390"/>
      <w:r>
        <w:rPr>
          <w:rFonts w:hint="default" w:ascii="楷体_GB2312" w:eastAsia="楷体_GB2312" w:hAnsiTheme="majorHAnsi" w:cstheme="majorBidi"/>
          <w:bCs/>
          <w:kern w:val="2"/>
          <w:sz w:val="28"/>
          <w:szCs w:val="32"/>
          <w:lang w:val="en-US" w:eastAsia="zh-CN" w:bidi="ar-SA"/>
        </w:rPr>
        <w:t>（一）评价目的</w:t>
      </w:r>
      <w:bookmarkEnd w:id="4"/>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绩效评价过程中发现的问题，分析原因，提出建议，为财政部门加强财政支出管理，强化支出责任，科学配置资源，提高财政资金的使用效益，探索财政资金标准的合理性，为合理安排以后年度财政预算提供可行性参考建议。</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b w:val="0"/>
          <w:bCs w:val="0"/>
          <w:lang w:val="en-US" w:eastAsia="zh-CN"/>
        </w:rPr>
      </w:pPr>
      <w:bookmarkStart w:id="5" w:name="_Toc3866"/>
      <w:r>
        <w:rPr>
          <w:rFonts w:hint="eastAsia" w:ascii="楷体_GB2312" w:hAnsi="楷体_GB2312" w:eastAsia="楷体_GB2312" w:cs="楷体_GB2312"/>
          <w:b w:val="0"/>
          <w:bCs w:val="0"/>
          <w:lang w:val="en-US" w:eastAsia="zh-CN"/>
        </w:rPr>
        <w:t>（二）评价对象和范围</w:t>
      </w:r>
      <w:bookmarkEnd w:id="5"/>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本次绩效评价的对象是宁武县扶贫开发办公室2020年易地扶贫搬迁工程项目资金，涉及资金为本次委托评价的1,660.00 万元。</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评价内容包括：</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（1）宁武县扶贫开发办公室2020年易地扶贫搬迁工程项目资金绩效目标、资金投入等内容。</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（2）宁武县扶贫开发办公室2020年易地扶贫搬迁工程项目资金管理情况。</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（3）宁武县扶贫开发办公室2020年易地扶贫搬迁工程项目资金发放情况，包括完成度及时效性。</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（4）宁武县扶贫开发办公室2020年易地扶贫搬迁工程项目资金绩效情况，包括项目产生的效益及群众满意度等情况。</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b w:val="0"/>
          <w:bCs w:val="0"/>
          <w:lang w:val="en-US" w:eastAsia="zh-CN"/>
        </w:rPr>
      </w:pPr>
      <w:bookmarkStart w:id="6" w:name="_Toc29345"/>
      <w:r>
        <w:rPr>
          <w:rFonts w:hint="eastAsia" w:ascii="楷体_GB2312" w:hAnsi="楷体_GB2312" w:eastAsia="楷体_GB2312" w:cs="楷体_GB2312"/>
          <w:b w:val="0"/>
          <w:bCs w:val="0"/>
          <w:lang w:val="en-US" w:eastAsia="zh-CN"/>
        </w:rPr>
        <w:t>（三）评价基准日</w:t>
      </w:r>
      <w:bookmarkEnd w:id="6"/>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本次绩效评价时段为2020年度，评价基准日为2021年10月31日。</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eastAsia="楷体_GB2312" w:hAnsiTheme="majorHAnsi" w:cstheme="majorBidi"/>
          <w:bCs/>
          <w:kern w:val="2"/>
          <w:sz w:val="28"/>
          <w:szCs w:val="32"/>
          <w:lang w:val="en-US" w:eastAsia="zh-CN" w:bidi="ar-SA"/>
        </w:rPr>
      </w:pPr>
      <w:bookmarkStart w:id="7" w:name="_Toc15591"/>
      <w:r>
        <w:rPr>
          <w:rFonts w:hint="eastAsia" w:ascii="楷体_GB2312" w:eastAsia="楷体_GB2312" w:hAnsiTheme="majorHAnsi" w:cstheme="majorBidi"/>
          <w:bCs/>
          <w:kern w:val="2"/>
          <w:sz w:val="28"/>
          <w:szCs w:val="32"/>
          <w:lang w:val="en-US" w:eastAsia="zh-CN" w:bidi="ar-SA"/>
        </w:rPr>
        <w:t>（四）绩效评价指标体系</w:t>
      </w:r>
      <w:bookmarkEnd w:id="7"/>
    </w:p>
    <w:p>
      <w:pPr>
        <w:pStyle w:val="5"/>
        <w:bidi w:val="0"/>
        <w:rPr>
          <w:rFonts w:hint="eastAsia"/>
          <w:lang w:val="en-US" w:eastAsia="zh-CN"/>
        </w:rPr>
      </w:pPr>
      <w:r>
        <w:rPr>
          <w:rFonts w:hint="eastAsia"/>
          <w:lang w:val="en-US" w:eastAsia="zh-CN"/>
        </w:rPr>
        <w:t>1.指标体系设计思路</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lang w:val="en-US" w:eastAsia="zh-CN"/>
        </w:rPr>
        <w:t>参照绩效评价的基本原理、原则和项目特点，评价组结合《财政支出绩效评价管理办法》（财预〔2020〕10号）、《宁武县财政局关于开展2020年度项目支出绩效评价工作的通知》（宁财字〔2021〕13号）等相关文件的要求，从</w:t>
      </w:r>
      <w:r>
        <w:rPr>
          <w:rFonts w:hint="eastAsia" w:ascii="仿宋_GB2312" w:hAnsi="仿宋_GB2312" w:eastAsia="仿宋_GB2312" w:cs="仿宋_GB2312"/>
          <w:highlight w:val="none"/>
          <w:lang w:val="en-US" w:eastAsia="zh-CN"/>
        </w:rPr>
        <w:t>决策类（包括项目立项、绩效目标、资金投入）、过程类（包括资金管理、组织实施）、产出类（包括产出数量、产出时效、产出成本）、效益类（包括项目效益、可持续性、满意度情况）四个维度进行评价。</w:t>
      </w:r>
    </w:p>
    <w:p>
      <w:pPr>
        <w:pStyle w:val="5"/>
        <w:bidi w:val="0"/>
        <w:rPr>
          <w:rFonts w:hint="eastAsia"/>
          <w:lang w:val="en-US" w:eastAsia="zh-CN"/>
        </w:rPr>
      </w:pPr>
      <w:r>
        <w:rPr>
          <w:rFonts w:hint="eastAsia"/>
          <w:lang w:val="en-US" w:eastAsia="zh-CN"/>
        </w:rPr>
        <w:t>2.指标体系具体内容</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指标体系</w:t>
      </w:r>
      <w:r>
        <w:rPr>
          <w:rFonts w:hint="eastAsia" w:ascii="仿宋_GB2312" w:hAnsi="仿宋_GB2312" w:eastAsia="仿宋_GB2312" w:cs="仿宋_GB2312"/>
          <w:highlight w:val="none"/>
          <w:lang w:val="en-US" w:eastAsia="zh-CN"/>
        </w:rPr>
        <w:t>由4项一级指标、11项二级指标、21项三级</w:t>
      </w:r>
      <w:r>
        <w:rPr>
          <w:rFonts w:hint="eastAsia" w:ascii="仿宋_GB2312" w:hAnsi="仿宋_GB2312" w:eastAsia="仿宋_GB2312" w:cs="仿宋_GB2312"/>
          <w:lang w:val="en-US" w:eastAsia="zh-CN"/>
        </w:rPr>
        <w:t>指标构成。数据主要来源于政策文件、制度文件、档案资料、基础表、问卷调查、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预算执行率、资金管理制度健全性、资金使用合规性、管理制度健全性、审核流程规范性、公示规范性、补助资金到户情况、档案管理完备性。产出类指标占权重分30分，从产出数量、产出时效、产出成本三个角度考核补助资金发放完成率、补助资金发放及时性、补助标准合理性的情况。效益类指标占权重分30分，从项目的社会效益、可持续性及受补对象满意度的情况。</w:t>
      </w:r>
    </w:p>
    <w:p>
      <w:pPr>
        <w:keepNext w:val="0"/>
        <w:keepLines w:val="0"/>
        <w:pageBreakBefore w:val="0"/>
        <w:kinsoku/>
        <w:wordWrap/>
        <w:overflowPunct/>
        <w:topLinePunct w:val="0"/>
        <w:bidi w:val="0"/>
        <w:snapToGrid/>
        <w:outlineLvl w:val="1"/>
        <w:rPr>
          <w:rFonts w:hint="eastAsia" w:ascii="楷体_GB2312" w:hAnsi="楷体_GB2312" w:eastAsia="楷体_GB2312" w:cs="楷体_GB2312"/>
          <w:b w:val="0"/>
          <w:bCs w:val="0"/>
          <w:lang w:val="en-US" w:eastAsia="zh-CN"/>
        </w:rPr>
      </w:pPr>
      <w:bookmarkStart w:id="8" w:name="_Toc31545"/>
      <w:r>
        <w:rPr>
          <w:rFonts w:hint="eastAsia" w:ascii="楷体_GB2312" w:hAnsi="楷体_GB2312" w:eastAsia="楷体_GB2312" w:cs="楷体_GB2312"/>
          <w:b w:val="0"/>
          <w:bCs w:val="0"/>
          <w:lang w:val="en-US" w:eastAsia="zh-CN"/>
        </w:rPr>
        <w:t>（五）绩效评价工作过程</w:t>
      </w:r>
      <w:bookmarkEnd w:id="8"/>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r>
        <w:rPr>
          <w:rFonts w:hint="eastAsia" w:ascii="仿宋_GB2312" w:hAnsi="仿宋_GB2312" w:eastAsia="仿宋_GB2312" w:cstheme="minorBidi"/>
          <w:kern w:val="2"/>
          <w:sz w:val="28"/>
          <w:szCs w:val="32"/>
          <w:lang w:val="en-US" w:eastAsia="zh-CN" w:bidi="ar-SA"/>
        </w:rPr>
        <w:t>接受宁武县财政局</w:t>
      </w:r>
      <w:r>
        <w:rPr>
          <w:rFonts w:hint="default" w:ascii="仿宋_GB2312" w:hAnsi="仿宋_GB2312" w:eastAsia="仿宋_GB2312" w:cstheme="minorBidi"/>
          <w:kern w:val="2"/>
          <w:sz w:val="28"/>
          <w:szCs w:val="32"/>
          <w:lang w:val="en-US" w:eastAsia="zh-CN" w:bidi="ar-SA"/>
        </w:rPr>
        <w:t>的委托</w:t>
      </w:r>
      <w:r>
        <w:rPr>
          <w:rFonts w:hint="eastAsia" w:ascii="仿宋_GB2312" w:hAnsi="仿宋_GB2312" w:eastAsia="仿宋_GB2312" w:cstheme="minorBidi"/>
          <w:kern w:val="2"/>
          <w:sz w:val="28"/>
          <w:szCs w:val="32"/>
          <w:lang w:val="en-US" w:eastAsia="zh-CN" w:bidi="ar-SA"/>
        </w:rPr>
        <w:t>后</w:t>
      </w:r>
      <w:r>
        <w:rPr>
          <w:rFonts w:hint="default" w:ascii="仿宋_GB2312" w:hAnsi="仿宋_GB2312" w:eastAsia="仿宋_GB2312" w:cstheme="minorBidi"/>
          <w:kern w:val="2"/>
          <w:sz w:val="28"/>
          <w:szCs w:val="32"/>
          <w:lang w:val="en-US" w:eastAsia="zh-CN" w:bidi="ar-SA"/>
        </w:rPr>
        <w:t>，我公司高度重视，积极筹备，成立项目领导组负责评价过程的协调和督导。</w:t>
      </w:r>
      <w:r>
        <w:rPr>
          <w:rFonts w:hint="eastAsia" w:ascii="仿宋_GB2312" w:hAnsi="仿宋_GB2312" w:eastAsia="仿宋_GB2312" w:cstheme="minorBidi"/>
          <w:kern w:val="2"/>
          <w:sz w:val="28"/>
          <w:szCs w:val="32"/>
          <w:lang w:val="en-US" w:eastAsia="zh-CN" w:bidi="ar-SA"/>
        </w:rPr>
        <w:t>具体</w:t>
      </w:r>
      <w:r>
        <w:rPr>
          <w:rFonts w:hint="default" w:ascii="仿宋_GB2312" w:hAnsi="仿宋_GB2312" w:eastAsia="仿宋_GB2312" w:cstheme="minorBidi"/>
          <w:kern w:val="2"/>
          <w:sz w:val="28"/>
          <w:szCs w:val="32"/>
          <w:lang w:val="en-US" w:eastAsia="zh-CN" w:bidi="ar-SA"/>
        </w:rPr>
        <w:t>工作分为</w:t>
      </w:r>
      <w:r>
        <w:rPr>
          <w:rFonts w:hint="eastAsia" w:ascii="仿宋_GB2312" w:hAnsi="仿宋_GB2312" w:eastAsia="仿宋_GB2312" w:cstheme="minorBidi"/>
          <w:kern w:val="2"/>
          <w:sz w:val="28"/>
          <w:szCs w:val="32"/>
          <w:lang w:val="en-US" w:eastAsia="zh-CN" w:bidi="ar-SA"/>
        </w:rPr>
        <w:t>前期</w:t>
      </w:r>
      <w:r>
        <w:rPr>
          <w:rFonts w:hint="default" w:ascii="仿宋_GB2312" w:hAnsi="仿宋_GB2312" w:eastAsia="仿宋_GB2312" w:cstheme="minorBidi"/>
          <w:kern w:val="2"/>
          <w:sz w:val="28"/>
          <w:szCs w:val="32"/>
          <w:lang w:val="en-US" w:eastAsia="zh-CN" w:bidi="ar-SA"/>
        </w:rPr>
        <w:t>准备、</w:t>
      </w:r>
      <w:r>
        <w:rPr>
          <w:rFonts w:hint="eastAsia" w:ascii="仿宋_GB2312" w:hAnsi="仿宋_GB2312" w:eastAsia="仿宋_GB2312" w:cstheme="minorBidi"/>
          <w:kern w:val="2"/>
          <w:sz w:val="28"/>
          <w:szCs w:val="32"/>
          <w:lang w:val="en-US" w:eastAsia="zh-CN" w:bidi="ar-SA"/>
        </w:rPr>
        <w:t>现场</w:t>
      </w:r>
      <w:r>
        <w:rPr>
          <w:rFonts w:hint="default" w:ascii="仿宋_GB2312" w:hAnsi="仿宋_GB2312" w:eastAsia="仿宋_GB2312" w:cstheme="minorBidi"/>
          <w:kern w:val="2"/>
          <w:sz w:val="28"/>
          <w:szCs w:val="32"/>
          <w:lang w:val="en-US" w:eastAsia="zh-CN" w:bidi="ar-SA"/>
        </w:rPr>
        <w:t>实施、报告撰写三个阶段。</w:t>
      </w:r>
    </w:p>
    <w:p>
      <w:pPr>
        <w:pStyle w:val="5"/>
        <w:bidi w:val="0"/>
        <w:rPr>
          <w:rFonts w:hint="default"/>
          <w:lang w:val="en-US" w:eastAsia="zh-CN"/>
        </w:rPr>
      </w:pPr>
      <w:r>
        <w:rPr>
          <w:rFonts w:hint="default"/>
          <w:lang w:val="en-US" w:eastAsia="zh-CN"/>
        </w:rPr>
        <w:t>1.评价准备阶段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r>
        <w:rPr>
          <w:rFonts w:hint="default" w:ascii="仿宋_GB2312" w:hAnsi="仿宋_GB2312" w:eastAsia="仿宋_GB2312" w:cstheme="minorBidi"/>
          <w:kern w:val="2"/>
          <w:sz w:val="28"/>
          <w:szCs w:val="32"/>
          <w:lang w:val="en-US" w:eastAsia="zh-CN" w:bidi="ar-SA"/>
        </w:rPr>
        <w:t>根据山西省《省级项目支出绩效评价管理办法》（晋财绩〔2020〕17号）文件精神和</w:t>
      </w:r>
      <w:r>
        <w:rPr>
          <w:rFonts w:hint="eastAsia" w:ascii="仿宋_GB2312" w:hAnsi="仿宋_GB2312" w:eastAsia="仿宋_GB2312" w:cstheme="minorBidi"/>
          <w:kern w:val="2"/>
          <w:sz w:val="28"/>
          <w:szCs w:val="32"/>
          <w:lang w:val="en-US" w:eastAsia="zh-CN" w:bidi="ar-SA"/>
        </w:rPr>
        <w:t>《关于开展2020年度项目支出绩效评价工作的通知》（宁财字〔2021〕13号）</w:t>
      </w:r>
      <w:r>
        <w:rPr>
          <w:rFonts w:hint="default" w:ascii="仿宋_GB2312" w:hAnsi="仿宋_GB2312" w:eastAsia="仿宋_GB2312" w:cstheme="minorBidi"/>
          <w:kern w:val="2"/>
          <w:sz w:val="28"/>
          <w:szCs w:val="32"/>
          <w:lang w:val="en-US" w:eastAsia="zh-CN" w:bidi="ar-SA"/>
        </w:rPr>
        <w:t>总体要求，明确评价目的和工作思路，联系</w:t>
      </w:r>
      <w:r>
        <w:rPr>
          <w:rFonts w:hint="eastAsia" w:ascii="仿宋_GB2312" w:hAnsi="仿宋_GB2312" w:eastAsia="仿宋_GB2312" w:cstheme="minorBidi"/>
          <w:kern w:val="2"/>
          <w:sz w:val="28"/>
          <w:szCs w:val="32"/>
          <w:lang w:val="en-US" w:eastAsia="zh-CN" w:bidi="ar-SA"/>
        </w:rPr>
        <w:t>主管单位、实施单位</w:t>
      </w:r>
      <w:r>
        <w:rPr>
          <w:rFonts w:hint="default" w:ascii="仿宋_GB2312" w:hAnsi="仿宋_GB2312" w:eastAsia="仿宋_GB2312" w:cstheme="minorBidi"/>
          <w:kern w:val="2"/>
          <w:sz w:val="28"/>
          <w:szCs w:val="32"/>
          <w:lang w:val="en-US" w:eastAsia="zh-CN" w:bidi="ar-SA"/>
        </w:rPr>
        <w:t>开展调研，收集相关政策文件和信息资料，编制绩效评价指标体系、评分标准和评价等级。</w:t>
      </w:r>
    </w:p>
    <w:p>
      <w:pPr>
        <w:pStyle w:val="5"/>
        <w:bidi w:val="0"/>
        <w:rPr>
          <w:rFonts w:hint="default"/>
          <w:lang w:val="en-US" w:eastAsia="zh-CN"/>
        </w:rPr>
      </w:pPr>
      <w:r>
        <w:rPr>
          <w:rFonts w:hint="default"/>
          <w:lang w:val="en-US" w:eastAsia="zh-CN"/>
        </w:rPr>
        <w:t>2.组织实施阶段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eastAsia" w:ascii="仿宋_GB2312" w:hAnsi="仿宋_GB2312" w:eastAsia="仿宋_GB2312" w:cstheme="minorBidi"/>
          <w:kern w:val="2"/>
          <w:sz w:val="28"/>
          <w:szCs w:val="32"/>
          <w:lang w:val="en-US" w:eastAsia="zh-CN" w:bidi="ar-SA"/>
        </w:rPr>
      </w:pPr>
      <w:bookmarkStart w:id="9" w:name="_Toc32670"/>
      <w:r>
        <w:rPr>
          <w:rFonts w:hint="default" w:ascii="仿宋_GB2312" w:hAnsi="仿宋_GB2312" w:eastAsia="仿宋_GB2312" w:cstheme="minorBidi"/>
          <w:kern w:val="2"/>
          <w:sz w:val="28"/>
          <w:szCs w:val="32"/>
          <w:lang w:val="en-US" w:eastAsia="zh-CN" w:bidi="ar-SA"/>
        </w:rPr>
        <w:t>（1）</w:t>
      </w:r>
      <w:r>
        <w:rPr>
          <w:rFonts w:hint="eastAsia" w:ascii="仿宋_GB2312" w:hAnsi="仿宋_GB2312" w:eastAsia="仿宋_GB2312" w:cstheme="minorBidi"/>
          <w:kern w:val="2"/>
          <w:sz w:val="28"/>
          <w:szCs w:val="32"/>
          <w:lang w:val="en-US" w:eastAsia="zh-CN" w:bidi="ar-SA"/>
        </w:rPr>
        <w:t>围绕评价指标补充</w:t>
      </w:r>
      <w:r>
        <w:rPr>
          <w:rFonts w:hint="default" w:ascii="仿宋_GB2312" w:hAnsi="仿宋_GB2312" w:eastAsia="仿宋_GB2312" w:cstheme="minorBidi"/>
          <w:kern w:val="2"/>
          <w:sz w:val="28"/>
          <w:szCs w:val="32"/>
          <w:lang w:val="en-US" w:eastAsia="zh-CN" w:bidi="ar-SA"/>
        </w:rPr>
        <w:t>收集</w:t>
      </w:r>
      <w:r>
        <w:rPr>
          <w:rFonts w:hint="eastAsia" w:ascii="仿宋_GB2312" w:hAnsi="仿宋_GB2312" w:eastAsia="仿宋_GB2312" w:cstheme="minorBidi"/>
          <w:kern w:val="2"/>
          <w:sz w:val="28"/>
          <w:szCs w:val="32"/>
          <w:lang w:val="en-US" w:eastAsia="zh-CN" w:bidi="ar-SA"/>
        </w:rPr>
        <w:t>相关</w:t>
      </w:r>
      <w:r>
        <w:rPr>
          <w:rFonts w:hint="default" w:ascii="仿宋_GB2312" w:hAnsi="仿宋_GB2312" w:eastAsia="仿宋_GB2312" w:cstheme="minorBidi"/>
          <w:kern w:val="2"/>
          <w:sz w:val="28"/>
          <w:szCs w:val="32"/>
          <w:lang w:val="en-US" w:eastAsia="zh-CN" w:bidi="ar-SA"/>
        </w:rPr>
        <w:t>资料</w:t>
      </w:r>
      <w:r>
        <w:rPr>
          <w:rFonts w:hint="eastAsia" w:ascii="仿宋_GB2312" w:hAnsi="仿宋_GB2312" w:eastAsia="仿宋_GB2312" w:cstheme="minorBidi"/>
          <w:kern w:val="2"/>
          <w:sz w:val="28"/>
          <w:szCs w:val="32"/>
          <w:lang w:val="en-US" w:eastAsia="zh-CN" w:bidi="ar-SA"/>
        </w:rPr>
        <w:t>；</w:t>
      </w:r>
      <w:bookmarkEnd w:id="9"/>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10" w:name="_Toc2125"/>
      <w:r>
        <w:rPr>
          <w:rFonts w:hint="default" w:ascii="仿宋_GB2312" w:hAnsi="仿宋_GB2312" w:eastAsia="仿宋_GB2312" w:cstheme="minorBidi"/>
          <w:kern w:val="2"/>
          <w:sz w:val="28"/>
          <w:szCs w:val="32"/>
          <w:lang w:val="en-US" w:eastAsia="zh-CN" w:bidi="ar-SA"/>
        </w:rPr>
        <w:t>（2）现场勘查。根据评价对象的特点和项目单位提供的数据资料，现场勘查项目建设情况及运营情况。</w:t>
      </w:r>
      <w:bookmarkEnd w:id="10"/>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11" w:name="_Toc8827"/>
      <w:r>
        <w:rPr>
          <w:rFonts w:hint="eastAsia" w:ascii="仿宋_GB2312" w:hAnsi="仿宋_GB2312" w:eastAsia="仿宋_GB2312" w:cstheme="minorBidi"/>
          <w:kern w:val="2"/>
          <w:sz w:val="28"/>
          <w:szCs w:val="32"/>
          <w:lang w:val="en-US" w:eastAsia="zh-CN" w:bidi="ar-SA"/>
        </w:rPr>
        <w:t>（3）满意度调查。向项目受益群体发放一定数量的满意度调查问卷，汇总受益群体对项目的意见及建议，形成满意度调查问卷分析。</w:t>
      </w:r>
      <w:bookmarkEnd w:id="11"/>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12" w:name="_Toc6703"/>
      <w:r>
        <w:rPr>
          <w:rFonts w:hint="default" w:ascii="仿宋_GB2312" w:hAnsi="仿宋_GB2312" w:eastAsia="仿宋_GB2312" w:cstheme="minorBidi"/>
          <w:kern w:val="2"/>
          <w:sz w:val="28"/>
          <w:szCs w:val="32"/>
          <w:lang w:val="en-US" w:eastAsia="zh-CN" w:bidi="ar-SA"/>
        </w:rPr>
        <w:t>（</w:t>
      </w:r>
      <w:r>
        <w:rPr>
          <w:rFonts w:hint="eastAsia" w:ascii="仿宋_GB2312" w:hAnsi="仿宋_GB2312" w:eastAsia="仿宋_GB2312" w:cstheme="minorBidi"/>
          <w:kern w:val="2"/>
          <w:sz w:val="28"/>
          <w:szCs w:val="32"/>
          <w:lang w:val="en-US" w:eastAsia="zh-CN" w:bidi="ar-SA"/>
        </w:rPr>
        <w:t>4</w:t>
      </w:r>
      <w:r>
        <w:rPr>
          <w:rFonts w:hint="default" w:ascii="仿宋_GB2312" w:hAnsi="仿宋_GB2312" w:eastAsia="仿宋_GB2312" w:cstheme="minorBidi"/>
          <w:kern w:val="2"/>
          <w:sz w:val="28"/>
          <w:szCs w:val="32"/>
          <w:lang w:val="en-US" w:eastAsia="zh-CN" w:bidi="ar-SA"/>
        </w:rPr>
        <w:t>）综合评价。根据评价工作方案确定的评价指标、评价权重、评价标准和评价方法，对评价对象的情况进行全面的定量定性分析和综合评价。</w:t>
      </w:r>
      <w:bookmarkEnd w:id="12"/>
    </w:p>
    <w:p>
      <w:pPr>
        <w:pStyle w:val="5"/>
        <w:bidi w:val="0"/>
        <w:rPr>
          <w:rFonts w:hint="default"/>
          <w:lang w:val="en-US" w:eastAsia="zh-CN"/>
        </w:rPr>
      </w:pPr>
      <w:bookmarkStart w:id="13" w:name="_Toc30607"/>
      <w:r>
        <w:rPr>
          <w:rFonts w:hint="default"/>
          <w:lang w:val="en-US" w:eastAsia="zh-CN"/>
        </w:rPr>
        <w:t>3.报告撰写阶段</w:t>
      </w:r>
      <w:bookmarkEnd w:id="13"/>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theme="minorBidi"/>
          <w:kern w:val="2"/>
          <w:sz w:val="28"/>
          <w:szCs w:val="32"/>
          <w:lang w:val="en-US" w:eastAsia="zh-CN" w:bidi="ar-SA"/>
        </w:rPr>
      </w:pPr>
      <w:bookmarkStart w:id="14" w:name="_Toc3178"/>
      <w:r>
        <w:rPr>
          <w:rFonts w:hint="default" w:ascii="仿宋_GB2312" w:hAnsi="仿宋_GB2312" w:eastAsia="仿宋_GB2312" w:cstheme="minorBidi"/>
          <w:kern w:val="2"/>
          <w:sz w:val="28"/>
          <w:szCs w:val="32"/>
          <w:lang w:val="en-US" w:eastAsia="zh-CN" w:bidi="ar-SA"/>
        </w:rPr>
        <w:t>绩效评价组根据被评价单位的绩效情况，按要求撰写评价报告，并根据专家意见进一步完善、修改绩效评价报告，形成</w:t>
      </w:r>
      <w:r>
        <w:rPr>
          <w:rFonts w:hint="eastAsia" w:ascii="仿宋_GB2312" w:hAnsi="仿宋_GB2312" w:eastAsia="仿宋_GB2312" w:cstheme="minorBidi"/>
          <w:kern w:val="2"/>
          <w:sz w:val="28"/>
          <w:szCs w:val="32"/>
          <w:lang w:val="en-US" w:eastAsia="zh-CN" w:bidi="ar-SA"/>
        </w:rPr>
        <w:t>报告提交报送委托评价单位。</w:t>
      </w:r>
      <w:bookmarkEnd w:id="14"/>
    </w:p>
    <w:p>
      <w:pPr>
        <w:keepNext w:val="0"/>
        <w:keepLines w:val="0"/>
        <w:pageBreakBefore w:val="0"/>
        <w:kinsoku/>
        <w:wordWrap/>
        <w:overflowPunct/>
        <w:topLinePunct w:val="0"/>
        <w:bidi w:val="0"/>
        <w:snapToGrid/>
        <w:outlineLvl w:val="0"/>
        <w:rPr>
          <w:rFonts w:hint="eastAsia" w:ascii="黑体" w:hAnsi="黑体" w:eastAsia="黑体" w:cs="黑体"/>
          <w:lang w:val="en-US" w:eastAsia="zh-CN"/>
        </w:rPr>
      </w:pPr>
      <w:bookmarkStart w:id="15" w:name="_Toc13573"/>
      <w:r>
        <w:rPr>
          <w:rFonts w:hint="eastAsia" w:ascii="黑体" w:hAnsi="黑体" w:eastAsia="黑体" w:cs="黑体"/>
          <w:lang w:val="en-US" w:eastAsia="zh-CN"/>
        </w:rPr>
        <w:t>三、综合评价情况及评价结论</w:t>
      </w:r>
      <w:bookmarkEnd w:id="15"/>
    </w:p>
    <w:p>
      <w:pPr>
        <w:pStyle w:val="4"/>
        <w:bidi w:val="0"/>
        <w:rPr>
          <w:rFonts w:hint="eastAsia"/>
          <w:lang w:val="en-US" w:eastAsia="zh-CN"/>
        </w:rPr>
      </w:pPr>
      <w:r>
        <w:rPr>
          <w:rFonts w:hint="eastAsia"/>
          <w:lang w:val="en-US" w:eastAsia="zh-CN"/>
        </w:rPr>
        <w:t>（一）综合评价情况</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评价组对照项目绩效评价指标体系，从决策、过程</w:t>
      </w:r>
      <w:r>
        <w:rPr>
          <w:rFonts w:hint="eastAsia" w:ascii="仿宋_GB2312" w:hAnsi="仿宋_GB2312" w:eastAsia="仿宋_GB2312" w:cs="仿宋_GB2312"/>
          <w:kern w:val="2"/>
          <w:sz w:val="28"/>
          <w:szCs w:val="28"/>
          <w:lang w:val="en-US" w:eastAsia="zh-CN" w:bidi="ar-SA"/>
        </w:rPr>
        <w:t>、产出和</w:t>
      </w:r>
      <w:r>
        <w:rPr>
          <w:rFonts w:hint="default" w:ascii="仿宋_GB2312" w:hAnsi="仿宋_GB2312" w:eastAsia="仿宋_GB2312" w:cs="仿宋_GB2312"/>
          <w:kern w:val="2"/>
          <w:sz w:val="28"/>
          <w:szCs w:val="28"/>
          <w:lang w:val="en-US" w:eastAsia="zh-CN" w:bidi="ar-SA"/>
        </w:rPr>
        <w:t>效益</w:t>
      </w:r>
      <w:r>
        <w:rPr>
          <w:rFonts w:hint="eastAsia" w:ascii="仿宋_GB2312" w:hAnsi="仿宋_GB2312" w:eastAsia="仿宋_GB2312" w:cs="仿宋_GB2312"/>
          <w:kern w:val="2"/>
          <w:sz w:val="28"/>
          <w:szCs w:val="28"/>
          <w:lang w:val="en-US" w:eastAsia="zh-CN" w:bidi="ar-SA"/>
        </w:rPr>
        <w:t>四</w:t>
      </w:r>
      <w:r>
        <w:rPr>
          <w:rFonts w:hint="default" w:ascii="仿宋_GB2312" w:hAnsi="仿宋_GB2312" w:eastAsia="仿宋_GB2312" w:cs="仿宋_GB2312"/>
          <w:kern w:val="2"/>
          <w:sz w:val="28"/>
          <w:szCs w:val="28"/>
          <w:lang w:val="en-US" w:eastAsia="zh-CN" w:bidi="ar-SA"/>
        </w:rPr>
        <w:t>个维度，通过数据采集、问卷调查及访谈等方式，对</w:t>
      </w:r>
      <w:r>
        <w:rPr>
          <w:rFonts w:hint="eastAsia" w:ascii="仿宋_GB2312" w:hAnsi="仿宋_GB2312" w:eastAsia="仿宋_GB2312" w:cs="仿宋_GB2312"/>
          <w:kern w:val="2"/>
          <w:sz w:val="28"/>
          <w:szCs w:val="28"/>
          <w:lang w:val="en-US" w:eastAsia="zh-CN" w:bidi="ar-SA"/>
        </w:rPr>
        <w:t>宁武县扶贫开发办公室2020年易地扶贫搬迁工程项目</w:t>
      </w:r>
      <w:r>
        <w:rPr>
          <w:rFonts w:hint="default" w:ascii="仿宋_GB2312" w:hAnsi="仿宋_GB2312" w:eastAsia="仿宋_GB2312" w:cs="仿宋_GB2312"/>
          <w:kern w:val="2"/>
          <w:sz w:val="28"/>
          <w:szCs w:val="28"/>
          <w:lang w:val="en-US" w:eastAsia="zh-CN" w:bidi="ar-SA"/>
        </w:rPr>
        <w:t>绩效进行客观分析，最终项目绩效评价得分为</w:t>
      </w:r>
      <w:r>
        <w:rPr>
          <w:rFonts w:hint="eastAsia" w:ascii="仿宋_GB2312" w:hAnsi="仿宋_GB2312" w:eastAsia="仿宋_GB2312" w:cs="仿宋_GB2312"/>
          <w:kern w:val="2"/>
          <w:sz w:val="28"/>
          <w:szCs w:val="28"/>
          <w:lang w:val="en-US" w:eastAsia="zh-CN" w:bidi="ar-SA"/>
        </w:rPr>
        <w:t>82.5</w:t>
      </w:r>
      <w:r>
        <w:rPr>
          <w:rFonts w:hint="default" w:ascii="仿宋_GB2312" w:hAnsi="仿宋_GB2312" w:eastAsia="仿宋_GB2312" w:cs="仿宋_GB2312"/>
          <w:kern w:val="2"/>
          <w:sz w:val="28"/>
          <w:szCs w:val="28"/>
          <w:lang w:val="en-US" w:eastAsia="zh-CN" w:bidi="ar-SA"/>
        </w:rPr>
        <w:t>分。根据《关于开展2020年度项目支出绩效评价的通知》（宁财字〔2021〕13号）文件的评分等级划分，本项目绩效等级为“良”。具体指标体系评分表见附件2。</w:t>
      </w:r>
    </w:p>
    <w:p>
      <w:pPr>
        <w:keepNext w:val="0"/>
        <w:keepLines w:val="0"/>
        <w:pageBreakBefore w:val="0"/>
        <w:kinsoku/>
        <w:wordWrap/>
        <w:overflowPunct/>
        <w:topLinePunct w:val="0"/>
        <w:bidi w:val="0"/>
        <w:snapToGrid/>
        <w:jc w:val="center"/>
        <w:rPr>
          <w:rFonts w:hint="eastAsia" w:ascii="宋体" w:hAnsi="宋体" w:eastAsia="宋体" w:cs="宋体"/>
          <w:lang w:val="en-US" w:eastAsia="zh-CN"/>
        </w:rPr>
      </w:pPr>
      <w:r>
        <w:rPr>
          <w:rFonts w:hint="eastAsia" w:ascii="宋体" w:hAnsi="宋体" w:eastAsia="宋体" w:cs="宋体"/>
          <w:lang w:val="en-US" w:eastAsia="zh-CN"/>
        </w:rPr>
        <w:t>表3-1项目绩效评价得分情况表</w:t>
      </w:r>
    </w:p>
    <w:tbl>
      <w:tblPr>
        <w:tblStyle w:val="1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91"/>
        <w:gridCol w:w="2292"/>
        <w:gridCol w:w="2292"/>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blHeader/>
        </w:trPr>
        <w:tc>
          <w:tcPr>
            <w:tcW w:w="1249" w:type="pct"/>
            <w:tcBorders>
              <w:top w:val="double" w:color="000000" w:sz="4" w:space="0"/>
              <w:left w:val="nil"/>
              <w:bottom w:val="dotted" w:color="000000" w:sz="4" w:space="0"/>
              <w:right w:val="dotted" w:color="000000" w:sz="4" w:space="0"/>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一级指标</w:t>
            </w:r>
          </w:p>
        </w:tc>
        <w:tc>
          <w:tcPr>
            <w:tcW w:w="1249" w:type="pct"/>
            <w:tcBorders>
              <w:top w:val="double" w:color="000000" w:sz="4" w:space="0"/>
              <w:left w:val="dotted" w:color="000000" w:sz="4" w:space="0"/>
              <w:bottom w:val="dotted" w:color="000000" w:sz="4" w:space="0"/>
              <w:right w:val="dotted" w:color="000000" w:sz="4" w:space="0"/>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权重</w:t>
            </w:r>
          </w:p>
        </w:tc>
        <w:tc>
          <w:tcPr>
            <w:tcW w:w="1249" w:type="pct"/>
            <w:tcBorders>
              <w:top w:val="double" w:color="000000" w:sz="4" w:space="0"/>
              <w:left w:val="dotted" w:color="000000" w:sz="4" w:space="0"/>
              <w:bottom w:val="dotted" w:color="000000" w:sz="4" w:space="0"/>
              <w:right w:val="dotted" w:color="000000" w:sz="4" w:space="0"/>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得分</w:t>
            </w:r>
          </w:p>
        </w:tc>
        <w:tc>
          <w:tcPr>
            <w:tcW w:w="1251" w:type="pct"/>
            <w:tcBorders>
              <w:top w:val="double" w:color="000000" w:sz="4" w:space="0"/>
              <w:left w:val="dotted" w:color="000000" w:sz="4" w:space="0"/>
              <w:bottom w:val="dotted" w:color="000000" w:sz="4" w:space="0"/>
              <w:right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49" w:type="pct"/>
            <w:tcBorders>
              <w:top w:val="dotted" w:color="000000" w:sz="4" w:space="0"/>
              <w:left w:val="nil"/>
              <w:bottom w:val="dotted"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A决策</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1251" w:type="pct"/>
            <w:tcBorders>
              <w:top w:val="dotted" w:color="000000" w:sz="4" w:space="0"/>
              <w:left w:val="dotted" w:color="000000" w:sz="4" w:space="0"/>
              <w:bottom w:val="dotted"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49" w:type="pct"/>
            <w:tcBorders>
              <w:top w:val="dotted" w:color="000000" w:sz="4" w:space="0"/>
              <w:left w:val="nil"/>
              <w:bottom w:val="dotted"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B过程</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12.5</w:t>
            </w:r>
          </w:p>
        </w:tc>
        <w:tc>
          <w:tcPr>
            <w:tcW w:w="1251" w:type="pct"/>
            <w:tcBorders>
              <w:top w:val="dotted" w:color="000000" w:sz="4" w:space="0"/>
              <w:left w:val="dotted" w:color="000000" w:sz="4" w:space="0"/>
              <w:bottom w:val="dotted"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49" w:type="pct"/>
            <w:tcBorders>
              <w:top w:val="dotted" w:color="000000" w:sz="4" w:space="0"/>
              <w:left w:val="nil"/>
              <w:bottom w:val="dotted"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C产出</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30</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29</w:t>
            </w:r>
          </w:p>
        </w:tc>
        <w:tc>
          <w:tcPr>
            <w:tcW w:w="1251" w:type="pct"/>
            <w:tcBorders>
              <w:top w:val="dotted" w:color="000000" w:sz="4" w:space="0"/>
              <w:left w:val="dotted" w:color="000000" w:sz="4" w:space="0"/>
              <w:bottom w:val="dotted"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96.67%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49" w:type="pct"/>
            <w:tcBorders>
              <w:top w:val="dotted" w:color="000000" w:sz="4" w:space="0"/>
              <w:left w:val="nil"/>
              <w:bottom w:val="dotted"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D效益</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30</w:t>
            </w:r>
          </w:p>
        </w:tc>
        <w:tc>
          <w:tcPr>
            <w:tcW w:w="1249" w:type="pct"/>
            <w:tcBorders>
              <w:top w:val="dotted" w:color="000000" w:sz="4" w:space="0"/>
              <w:left w:val="dotted" w:color="000000" w:sz="4" w:space="0"/>
              <w:bottom w:val="dotted"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28</w:t>
            </w:r>
          </w:p>
        </w:tc>
        <w:tc>
          <w:tcPr>
            <w:tcW w:w="1251" w:type="pct"/>
            <w:tcBorders>
              <w:top w:val="dotted" w:color="000000" w:sz="4" w:space="0"/>
              <w:left w:val="dotted" w:color="000000" w:sz="4" w:space="0"/>
              <w:bottom w:val="dotted"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49" w:type="pct"/>
            <w:tcBorders>
              <w:top w:val="dotted" w:color="000000" w:sz="4" w:space="0"/>
              <w:left w:val="nil"/>
              <w:bottom w:val="double" w:color="000000" w:sz="4" w:space="0"/>
              <w:right w:val="dotted"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49" w:type="pct"/>
            <w:tcBorders>
              <w:top w:val="dotted" w:color="000000" w:sz="4" w:space="0"/>
              <w:left w:val="dotted" w:color="000000" w:sz="4" w:space="0"/>
              <w:bottom w:val="double"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1249" w:type="pct"/>
            <w:tcBorders>
              <w:top w:val="dotted" w:color="000000" w:sz="4" w:space="0"/>
              <w:left w:val="dotted" w:color="000000" w:sz="4" w:space="0"/>
              <w:bottom w:val="double" w:color="000000" w:sz="4" w:space="0"/>
              <w:right w:val="dotted"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82.5</w:t>
            </w:r>
          </w:p>
        </w:tc>
        <w:tc>
          <w:tcPr>
            <w:tcW w:w="1251" w:type="pct"/>
            <w:tcBorders>
              <w:top w:val="dotted" w:color="000000" w:sz="4" w:space="0"/>
              <w:left w:val="dotted" w:color="000000" w:sz="4" w:space="0"/>
              <w:bottom w:val="doub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82.50%</w:t>
            </w:r>
          </w:p>
        </w:tc>
      </w:tr>
    </w:tbl>
    <w:p>
      <w:pPr>
        <w:pStyle w:val="4"/>
        <w:bidi w:val="0"/>
        <w:rPr>
          <w:rFonts w:hint="eastAsia"/>
          <w:lang w:val="en-US" w:eastAsia="zh-CN"/>
        </w:rPr>
      </w:pPr>
      <w:r>
        <w:rPr>
          <w:rFonts w:hint="eastAsia"/>
          <w:lang w:val="en-US" w:eastAsia="zh-CN"/>
        </w:rPr>
        <w:t>（二）评价结论</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color w:val="auto"/>
          <w:spacing w:val="-1"/>
          <w:sz w:val="28"/>
          <w:szCs w:val="28"/>
          <w:u w:val="none"/>
        </w:rPr>
        <w:t>从现场调研情况看，项目基本按照计划完成了年度工作任</w:t>
      </w:r>
      <w:r>
        <w:rPr>
          <w:rFonts w:hint="eastAsia" w:ascii="仿宋_GB2312" w:hAnsi="仿宋_GB2312" w:eastAsia="仿宋_GB2312" w:cs="仿宋_GB2312"/>
          <w:color w:val="auto"/>
          <w:spacing w:val="-8"/>
          <w:sz w:val="28"/>
          <w:szCs w:val="28"/>
          <w:u w:val="none"/>
        </w:rPr>
        <w:t>务，资金支出严格执行了相关政策规定，</w:t>
      </w:r>
      <w:r>
        <w:rPr>
          <w:rFonts w:hint="eastAsia" w:ascii="仿宋_GB2312" w:hAnsi="仿宋_GB2312" w:eastAsia="仿宋_GB2312" w:cs="仿宋_GB2312"/>
          <w:lang w:val="en-US" w:eastAsia="zh-CN"/>
        </w:rPr>
        <w:t>降低了搬迁户装修成本，节省了装修时间，加快了搬迁户入住时间，降低了搬迁户无房可住的焦虑心态，节省了各户租房费用，保障了搬迁户的基本生活需求。但同时也存在问题如：对预算资金收支情况没有进行账务处理，没有制定符合项目实际的管理制度，补助资金到户明细资料没有归档。</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0"/>
        <w:rPr>
          <w:rFonts w:hint="eastAsia" w:ascii="黑体" w:hAnsi="黑体" w:eastAsia="黑体" w:cs="黑体"/>
          <w:kern w:val="2"/>
          <w:sz w:val="28"/>
          <w:szCs w:val="20"/>
          <w:lang w:val="en-US" w:eastAsia="zh-CN" w:bidi="ar-SA"/>
        </w:rPr>
      </w:pPr>
      <w:bookmarkStart w:id="16" w:name="_Toc7353"/>
      <w:r>
        <w:rPr>
          <w:rFonts w:hint="eastAsia" w:ascii="黑体" w:hAnsi="黑体" w:eastAsia="黑体" w:cs="黑体"/>
          <w:kern w:val="2"/>
          <w:sz w:val="28"/>
          <w:szCs w:val="20"/>
          <w:lang w:val="en-US" w:eastAsia="zh-CN" w:bidi="ar-SA"/>
        </w:rPr>
        <w:t>四、存在的问题及原因分析</w:t>
      </w:r>
      <w:bookmarkEnd w:id="16"/>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lang w:val="en-US" w:eastAsia="zh-CN"/>
        </w:rPr>
      </w:pPr>
      <w:bookmarkStart w:id="17" w:name="_Toc14636"/>
      <w:bookmarkStart w:id="18" w:name="_Toc29629"/>
      <w:r>
        <w:rPr>
          <w:rFonts w:hint="eastAsia" w:ascii="楷体_GB2312" w:hAnsi="楷体_GB2312" w:eastAsia="楷体_GB2312" w:cs="楷体_GB2312"/>
          <w:lang w:val="en-US" w:eastAsia="zh-CN"/>
        </w:rPr>
        <w:t>（一）对预算资金收支没有及时进行账务处理</w:t>
      </w:r>
      <w:bookmarkEnd w:id="17"/>
      <w:bookmarkEnd w:id="18"/>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山西省易地扶贫搬迁资金管理办法》（晋政办发〔2016〕91号）文件要求：“各级财政、扶贫开发、发展改革部门应加强对易地扶贫搬迁资金使用的监控管理，实行台账管理制度，做到审核记录、账目清楚，每笔资金可复核、可追溯，保证资金安全，提高资金使用效益。”宁武县扶贫办建立了易地扶贫搬迁资金台账，但是没有针对资金收支情况进行账务处理，没有按要求做到账目清楚，对资金复核、追溯产生不利因素，加大了资金使用的风险，不利于形成健康、安全、清晰的资金管理使用体系。</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lang w:val="en-US" w:eastAsia="zh-CN"/>
        </w:rPr>
      </w:pPr>
      <w:bookmarkStart w:id="19" w:name="_Toc6900"/>
      <w:bookmarkStart w:id="20" w:name="_Toc16155"/>
      <w:r>
        <w:rPr>
          <w:rFonts w:hint="eastAsia" w:ascii="楷体_GB2312" w:hAnsi="楷体_GB2312" w:eastAsia="楷体_GB2312" w:cs="楷体_GB2312"/>
          <w:lang w:val="en-US" w:eastAsia="zh-CN"/>
        </w:rPr>
        <w:t>（二）没有制定符合本县工作实情的管理制度</w:t>
      </w:r>
      <w:bookmarkEnd w:id="19"/>
      <w:bookmarkEnd w:id="20"/>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0"/>
          <w:lang w:val="en-US" w:eastAsia="zh-CN" w:bidi="ar-SA"/>
        </w:rPr>
      </w:pPr>
      <w:r>
        <w:rPr>
          <w:rFonts w:hint="eastAsia" w:ascii="仿宋_GB2312" w:hAnsi="仿宋_GB2312" w:eastAsia="仿宋_GB2312" w:cs="仿宋_GB2312"/>
          <w:kern w:val="2"/>
          <w:sz w:val="28"/>
          <w:szCs w:val="20"/>
          <w:lang w:val="en-US" w:eastAsia="zh-CN" w:bidi="ar-SA"/>
        </w:rPr>
        <w:t>宁武县易地扶贫搬迁项目沿用上级省市相关管理制度，如：《山西省易地扶贫搬迁资金管理办法》、《山西省人民政府办公厅关于做好易地扶贫搬迁后续扶持工作的实施意见》，没有根据上级文件结合本县易地扶贫搬迁工作实情制定相关的资金管理办法及业务管理制度等。尤其是易地扶贫搬迁工作中补助项目的多样性及复杂性，首先需要从制度方面给予全面的规范和要求，预算资金的来源、拨付，受补人员的申请、审核，各类补助标准，补助资金的发放等均需要明确的文件依据，才能提高补助资金安全、准确地发放到每个受补对象手中。</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default" w:ascii="楷体_GB2312" w:hAnsi="楷体_GB2312" w:eastAsia="楷体_GB2312" w:cs="楷体_GB2312"/>
          <w:lang w:val="en-US" w:eastAsia="zh-CN"/>
        </w:rPr>
      </w:pPr>
      <w:bookmarkStart w:id="21" w:name="_Toc29166"/>
      <w:bookmarkStart w:id="22" w:name="_Toc17149"/>
      <w:r>
        <w:rPr>
          <w:rFonts w:hint="eastAsia" w:ascii="楷体_GB2312" w:hAnsi="楷体_GB2312" w:eastAsia="楷体_GB2312" w:cs="楷体_GB2312"/>
          <w:lang w:val="en-US" w:eastAsia="zh-CN"/>
        </w:rPr>
        <w:t>（三）补助资金到户明细没有归档</w:t>
      </w:r>
      <w:bookmarkEnd w:id="21"/>
      <w:bookmarkEnd w:id="22"/>
    </w:p>
    <w:p>
      <w:pPr>
        <w:rPr>
          <w:rFonts w:hint="default" w:hAnsi="仿宋_GB2312" w:cs="仿宋_GB2312"/>
          <w:kern w:val="2"/>
          <w:sz w:val="28"/>
          <w:szCs w:val="20"/>
          <w:lang w:val="en-US" w:eastAsia="zh-CN" w:bidi="ar-SA"/>
        </w:rPr>
      </w:pPr>
      <w:r>
        <w:rPr>
          <w:rFonts w:hint="eastAsia" w:hAnsi="仿宋_GB2312" w:cs="仿宋_GB2312"/>
          <w:kern w:val="2"/>
          <w:sz w:val="28"/>
          <w:szCs w:val="20"/>
          <w:lang w:val="en-US" w:eastAsia="zh-CN" w:bidi="ar-SA"/>
        </w:rPr>
        <w:t>根据各乡（镇）现场调研情况，发现各乡（镇）、各村委均没有将村－户补助资金发放银行明细回单归档，仅有各受补对象在补助资金发放花名册上的签字及手印，银行明细回单是最直观可以证明补助资金发放到各受补对象账户中的凭证，缺少此明细，将不能有信心地掌握各受补对象收款情况，使补助资金发放工作存在风险，不利于相关工作主体掌握受补对象收款信息，造成信息闭塞，不利于相关工作的开展。</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黑体" w:hAnsi="黑体" w:eastAsia="黑体" w:cs="黑体"/>
          <w:kern w:val="2"/>
          <w:sz w:val="28"/>
          <w:szCs w:val="20"/>
          <w:lang w:val="en-US" w:eastAsia="zh-CN" w:bidi="ar-SA"/>
        </w:rPr>
      </w:pPr>
      <w:bookmarkStart w:id="23" w:name="_Toc18462"/>
      <w:r>
        <w:rPr>
          <w:rFonts w:hint="eastAsia" w:ascii="黑体" w:hAnsi="黑体" w:eastAsia="黑体" w:cs="黑体"/>
          <w:kern w:val="2"/>
          <w:sz w:val="28"/>
          <w:szCs w:val="20"/>
          <w:lang w:val="en-US" w:eastAsia="zh-CN" w:bidi="ar-SA"/>
        </w:rPr>
        <w:t>五、相关建议</w:t>
      </w:r>
      <w:bookmarkEnd w:id="23"/>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lang w:val="en-US" w:eastAsia="zh-CN"/>
        </w:rPr>
      </w:pPr>
      <w:bookmarkStart w:id="24" w:name="_Toc12608"/>
      <w:bookmarkStart w:id="25" w:name="_Toc12890"/>
      <w:r>
        <w:rPr>
          <w:rFonts w:hint="eastAsia" w:ascii="楷体_GB2312" w:hAnsi="楷体_GB2312" w:eastAsia="楷体_GB2312" w:cs="楷体_GB2312"/>
          <w:lang w:val="en-US" w:eastAsia="zh-CN"/>
        </w:rPr>
        <w:t>（一）对资金收支情况进行账务处理</w:t>
      </w:r>
      <w:bookmarkEnd w:id="24"/>
      <w:bookmarkEnd w:id="25"/>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9"/>
        <w:rPr>
          <w:rFonts w:hint="eastAsia" w:ascii="仿宋_GB2312" w:eastAsia="仿宋_GB2312" w:hAnsiTheme="minorHAnsi" w:cstheme="minorBidi"/>
          <w:kern w:val="2"/>
          <w:sz w:val="28"/>
          <w:szCs w:val="24"/>
          <w:lang w:val="en-US" w:eastAsia="zh-CN" w:bidi="ar-SA"/>
        </w:rPr>
      </w:pPr>
      <w:r>
        <w:rPr>
          <w:rFonts w:hint="eastAsia" w:ascii="仿宋_GB2312" w:eastAsia="仿宋_GB2312" w:hAnsiTheme="minorHAnsi" w:cstheme="minorBidi"/>
          <w:kern w:val="2"/>
          <w:sz w:val="28"/>
          <w:szCs w:val="24"/>
          <w:lang w:val="en-US" w:eastAsia="zh-CN" w:bidi="ar-SA"/>
        </w:rPr>
        <w:t>根据《山西省易地扶贫搬迁资金管理办法》（晋政办发〔2016〕91号）文件要求：“各级财政、扶贫开发、发展改革部门应加强对易地扶贫搬迁资金使用的监控管理，实行台账管理制度，做到审核记录、账目清楚，每笔资金可复核、可追溯，保证资金安全，提高资金使用效益。”建议宁武县易地扶贫搬迁项目资金主管部门强化资金管理意识，针对项目资金收支情况及时进行账目处理，保证账目清楚，使资金增减变动情况跃然于账目与凭证中，使各项目资金在账目中各归其位，并保证每笔资金可追溯，可审核，降低资金使用风险，提高资金使用效益。</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lang w:val="en-US" w:eastAsia="zh-CN"/>
        </w:rPr>
      </w:pPr>
      <w:bookmarkStart w:id="26" w:name="_Toc19382"/>
      <w:bookmarkStart w:id="27" w:name="_Toc28159"/>
      <w:r>
        <w:rPr>
          <w:rFonts w:hint="eastAsia" w:ascii="楷体_GB2312" w:hAnsi="楷体_GB2312" w:eastAsia="楷体_GB2312" w:cs="楷体_GB2312"/>
          <w:lang w:val="en-US" w:eastAsia="zh-CN"/>
        </w:rPr>
        <w:t>（二）制定符合本县工作实情的业务管理制度</w:t>
      </w:r>
      <w:bookmarkEnd w:id="26"/>
      <w:bookmarkEnd w:id="27"/>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ascii="仿宋_GB2312" w:hAnsi="仿宋_GB2312" w:eastAsia="仿宋_GB2312" w:cs="仿宋_GB2312"/>
          <w:kern w:val="2"/>
          <w:sz w:val="28"/>
          <w:szCs w:val="20"/>
          <w:lang w:val="en-US" w:eastAsia="zh-CN" w:bidi="ar-SA"/>
        </w:rPr>
      </w:pPr>
      <w:r>
        <w:rPr>
          <w:rFonts w:hint="eastAsia"/>
          <w:lang w:val="en-US" w:eastAsia="zh-CN"/>
        </w:rPr>
        <w:t>根据</w:t>
      </w:r>
      <w:r>
        <w:rPr>
          <w:rFonts w:hint="eastAsia" w:ascii="仿宋_GB2312" w:hAnsi="仿宋_GB2312" w:eastAsia="仿宋_GB2312" w:cs="仿宋_GB2312"/>
          <w:kern w:val="2"/>
          <w:sz w:val="28"/>
          <w:szCs w:val="20"/>
          <w:lang w:val="en-US" w:eastAsia="zh-CN" w:bidi="ar-SA"/>
        </w:rPr>
        <w:t>《山西省易地扶贫搬迁资金管理办法》中的要求：“</w:t>
      </w:r>
      <w:r>
        <w:rPr>
          <w:rFonts w:ascii="仿宋_GB2312" w:hAnsi="宋体" w:eastAsia="仿宋_GB2312" w:cs="仿宋_GB2312"/>
          <w:i w:val="0"/>
          <w:iCs w:val="0"/>
          <w:caps w:val="0"/>
          <w:color w:val="000000"/>
          <w:spacing w:val="0"/>
          <w:sz w:val="25"/>
          <w:szCs w:val="25"/>
          <w:shd w:val="clear" w:fill="FFFFFF"/>
        </w:rPr>
        <w:t>各市、县可依据本办法，结合本地项目建设实际情况，制定具体实施细则</w:t>
      </w:r>
      <w:r>
        <w:rPr>
          <w:rFonts w:hint="eastAsia" w:ascii="仿宋_GB2312" w:hAnsi="仿宋_GB2312" w:eastAsia="仿宋_GB2312" w:cs="仿宋_GB2312"/>
          <w:kern w:val="2"/>
          <w:sz w:val="28"/>
          <w:szCs w:val="20"/>
          <w:lang w:val="en-US" w:eastAsia="zh-CN" w:bidi="ar-SA"/>
        </w:rPr>
        <w:t>”，其他上级制度文件中均要求各县结合本地项目实际情况制定相应的实施办法或制度等。建议宁武县易地扶贫搬迁项目资金主管部门联合本级财政部门、自然资源局、民政局等其他相关部门，根据上级文件，结合本县易地扶贫搬迁工作实情，制定本县易地扶贫搬迁项目资金、业务管理制度等，不但要针对工程管理提出管理办法，也要针对各类补助项目，补助资金提出管理办法或实施细则。强化项目规范管理，落实资金安全发放。</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1"/>
        <w:rPr>
          <w:rFonts w:hint="eastAsia" w:ascii="楷体_GB2312" w:hAnsi="楷体_GB2312" w:eastAsia="楷体_GB2312" w:cs="楷体_GB2312"/>
          <w:lang w:val="en-US" w:eastAsia="zh-CN"/>
        </w:rPr>
      </w:pPr>
      <w:bookmarkStart w:id="28" w:name="_Toc28657"/>
      <w:bookmarkStart w:id="29" w:name="_Toc22109"/>
      <w:r>
        <w:rPr>
          <w:rFonts w:hint="eastAsia" w:ascii="楷体_GB2312" w:hAnsi="楷体_GB2312" w:eastAsia="楷体_GB2312" w:cs="楷体_GB2312"/>
          <w:lang w:val="en-US" w:eastAsia="zh-CN"/>
        </w:rPr>
        <w:t>（三）收集归档各村补助资金到户明细</w:t>
      </w:r>
      <w:bookmarkEnd w:id="28"/>
      <w:bookmarkEnd w:id="29"/>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lang w:val="en-US" w:eastAsia="zh-CN"/>
        </w:rPr>
      </w:pPr>
      <w:r>
        <w:rPr>
          <w:rFonts w:hint="eastAsia" w:ascii="仿宋_GB2312" w:hAnsi="仿宋_GB2312" w:eastAsia="仿宋_GB2312" w:cs="仿宋_GB2312"/>
          <w:kern w:val="2"/>
          <w:sz w:val="28"/>
          <w:szCs w:val="20"/>
          <w:lang w:val="en-US" w:eastAsia="zh-CN" w:bidi="ar-SA"/>
        </w:rPr>
        <w:t>补助资金到户是补助项目最后也是最关键的一步，不能仅靠花名册中受补人员的签字手印作为最终受补依据。应结合补助资金银行拨款明细回单一同查验，才能保证补助资金的准确性。建议各乡（镇）、村委有关负责人员与银行对接打印出各类补助资金银行拨款明细回单并归档，同时做好查验工作，保证每位受补对象足额收到补助资金，发现问题及时上报并做好处理，保障受补对象的权益合理实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lang w:val="en-US" w:eastAsia="zh-CN"/>
        </w:rPr>
      </w:pPr>
    </w:p>
    <w:sectPr>
      <w:headerReference r:id="rId7" w:type="default"/>
      <w:footerReference r:id="rId8"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A406B0-03C5-44DC-B211-6E5C3A58DA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5FA2FC6-D365-4351-9AC0-7940F39D5457}"/>
  </w:font>
  <w:font w:name="仿宋_GB2312">
    <w:panose1 w:val="02010609030101010101"/>
    <w:charset w:val="86"/>
    <w:family w:val="modern"/>
    <w:pitch w:val="default"/>
    <w:sig w:usb0="00000001" w:usb1="080E0000" w:usb2="00000000" w:usb3="00000000" w:csb0="00040000" w:csb1="00000000"/>
    <w:embedRegular r:id="rId3" w:fontKey="{76C2E00D-4A25-43CF-9812-58C111624751}"/>
  </w:font>
  <w:font w:name="楷体_GB2312">
    <w:panose1 w:val="02010609030101010101"/>
    <w:charset w:val="86"/>
    <w:family w:val="modern"/>
    <w:pitch w:val="default"/>
    <w:sig w:usb0="00000001" w:usb1="080E0000" w:usb2="00000000" w:usb3="00000000" w:csb0="00040000" w:csb1="00000000"/>
    <w:embedRegular r:id="rId4" w:fontKey="{95833A3E-F006-41A0-9733-8CE41D9CEEBE}"/>
  </w:font>
  <w:font w:name="Calibri Light">
    <w:panose1 w:val="020F0302020204030204"/>
    <w:charset w:val="00"/>
    <w:family w:val="swiss"/>
    <w:pitch w:val="default"/>
    <w:sig w:usb0="E4002EFF" w:usb1="C000247B" w:usb2="00000009" w:usb3="00000000" w:csb0="200001FF" w:csb1="00000000"/>
    <w:embedRegular r:id="rId5" w:fontKey="{644EFA74-8529-472A-87FB-49B1B55FACBD}"/>
  </w:font>
  <w:font w:name="方正小标宋简体">
    <w:panose1 w:val="03000509000000000000"/>
    <w:charset w:val="86"/>
    <w:family w:val="script"/>
    <w:pitch w:val="default"/>
    <w:sig w:usb0="00000001" w:usb1="080E0000" w:usb2="00000000" w:usb3="00000000" w:csb0="00040000" w:csb1="00000000"/>
    <w:embedRegular r:id="rId6" w:fontKey="{81FCD5D8-F1BD-4807-9C0D-FCF30412ACF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7212"/>
      </w:tabs>
      <w:spacing w:line="240" w:lineRule="auto"/>
      <w:ind w:firstLine="360"/>
      <w:jc w:val="left"/>
      <w:rPr>
        <w:rFonts w:hint="eastAsia" w:ascii="宋体" w:hAnsi="宋体" w:eastAsia="宋体"/>
        <w:bCs/>
        <w:lang w:eastAsia="zh-CN"/>
      </w:rPr>
    </w:pPr>
    <w:r>
      <w:rPr>
        <w:rFonts w:hint="eastAsia" w:ascii="宋体" w:hAnsi="宋体" w:eastAsia="宋体"/>
        <w:bCs/>
        <w:lang w:eastAsia="zh-CN"/>
      </w:rPr>
      <w:tab/>
    </w:r>
    <w:r>
      <w:rPr>
        <w:rFonts w:hint="eastAsia" w:ascii="宋体" w:hAnsi="宋体" w:eastAsia="宋体"/>
        <w:bCs/>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tabs>
        <w:tab w:val="left" w:pos="7212"/>
      </w:tabs>
      <w:spacing w:line="240" w:lineRule="auto"/>
      <w:ind w:left="0" w:leftChars="0" w:firstLine="0" w:firstLineChars="0"/>
      <w:jc w:val="both"/>
      <w:rPr>
        <w:rFonts w:hint="eastAsia" w:ascii="宋体" w:hAnsi="宋体" w:eastAsia="宋体"/>
        <w:bCs/>
        <w:sz w:val="22"/>
        <w:szCs w:val="22"/>
        <w:lang w:eastAsia="zh-CN"/>
      </w:rPr>
    </w:pPr>
    <w:r>
      <w:rPr>
        <w:rFonts w:hint="eastAsia"/>
        <w:sz w:val="22"/>
        <w:szCs w:val="22"/>
        <w:lang w:val="en-US" w:eastAsia="zh-CN"/>
      </w:rPr>
      <w:t xml:space="preserve"> </w:t>
    </w:r>
    <w:r>
      <w:rPr>
        <w:sz w:val="22"/>
        <w:szCs w:val="22"/>
      </w:rPr>
      <w:drawing>
        <wp:inline distT="0" distB="0" distL="114300" distR="114300">
          <wp:extent cx="240665" cy="240665"/>
          <wp:effectExtent l="0" t="0" r="31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w:t>
    </w:r>
    <w:r>
      <w:rPr>
        <w:rFonts w:hint="eastAsia"/>
        <w:sz w:val="22"/>
        <w:szCs w:val="22"/>
        <w:lang w:val="en-US" w:eastAsia="zh-CN"/>
      </w:rPr>
      <w:t xml:space="preserve">              </w:t>
    </w:r>
    <w:r>
      <w:rPr>
        <w:rFonts w:hint="eastAsia" w:ascii="宋体" w:hAnsi="宋体" w:eastAsia="宋体"/>
        <w:bCs/>
        <w:sz w:val="22"/>
        <w:szCs w:val="22"/>
        <w:lang w:val="en-US" w:eastAsia="zh-CN"/>
      </w:rPr>
      <w:t>宁武县扶贫办2020年易地扶贫搬迁工程项目支出绩效评价报告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MTJhOTM5OThiZDJiYWUyM2UzNTYxOGQwOTdjMDcifQ=="/>
  </w:docVars>
  <w:rsids>
    <w:rsidRoot w:val="72560CB0"/>
    <w:rsid w:val="06BB41F1"/>
    <w:rsid w:val="08DA0616"/>
    <w:rsid w:val="08F30B4F"/>
    <w:rsid w:val="090D2FBC"/>
    <w:rsid w:val="0BF212E9"/>
    <w:rsid w:val="0C734D70"/>
    <w:rsid w:val="0C9B0993"/>
    <w:rsid w:val="0CA02FC8"/>
    <w:rsid w:val="0F953953"/>
    <w:rsid w:val="11B41665"/>
    <w:rsid w:val="13A46379"/>
    <w:rsid w:val="15C736EC"/>
    <w:rsid w:val="17CC7AA3"/>
    <w:rsid w:val="197C43D3"/>
    <w:rsid w:val="1AF83521"/>
    <w:rsid w:val="1B83372D"/>
    <w:rsid w:val="1C9F46CA"/>
    <w:rsid w:val="1F98193E"/>
    <w:rsid w:val="207471F9"/>
    <w:rsid w:val="238F6CC2"/>
    <w:rsid w:val="23F6529D"/>
    <w:rsid w:val="24960269"/>
    <w:rsid w:val="24A00B27"/>
    <w:rsid w:val="296723CC"/>
    <w:rsid w:val="2BCC3B23"/>
    <w:rsid w:val="2CD3007C"/>
    <w:rsid w:val="3067316A"/>
    <w:rsid w:val="31F67EDC"/>
    <w:rsid w:val="355C1511"/>
    <w:rsid w:val="379C3A24"/>
    <w:rsid w:val="38814CDE"/>
    <w:rsid w:val="3A612F35"/>
    <w:rsid w:val="3AFC76B4"/>
    <w:rsid w:val="41041ED3"/>
    <w:rsid w:val="41923405"/>
    <w:rsid w:val="42B53733"/>
    <w:rsid w:val="47E5575F"/>
    <w:rsid w:val="48137939"/>
    <w:rsid w:val="4CF77C8C"/>
    <w:rsid w:val="50B16006"/>
    <w:rsid w:val="51050568"/>
    <w:rsid w:val="585D7F60"/>
    <w:rsid w:val="5963679C"/>
    <w:rsid w:val="5ACB6EE5"/>
    <w:rsid w:val="5ECC4E68"/>
    <w:rsid w:val="5EE05CB0"/>
    <w:rsid w:val="66344C55"/>
    <w:rsid w:val="66FF55EE"/>
    <w:rsid w:val="67C7715C"/>
    <w:rsid w:val="68355395"/>
    <w:rsid w:val="68711603"/>
    <w:rsid w:val="694E4F58"/>
    <w:rsid w:val="6DA37809"/>
    <w:rsid w:val="7223194D"/>
    <w:rsid w:val="72560CB0"/>
    <w:rsid w:val="7A8B424A"/>
    <w:rsid w:val="7D8A2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eastAsia="仿宋_GB2312" w:hAnsiTheme="minorHAnsi" w:cstheme="minorBidi"/>
      <w:kern w:val="2"/>
      <w:sz w:val="28"/>
      <w:szCs w:val="24"/>
      <w:lang w:val="en-US" w:eastAsia="zh-CN" w:bidi="ar-SA"/>
    </w:rPr>
  </w:style>
  <w:style w:type="paragraph" w:styleId="4">
    <w:name w:val="heading 2"/>
    <w:basedOn w:val="1"/>
    <w:next w:val="1"/>
    <w:unhideWhenUsed/>
    <w:qFormat/>
    <w:uiPriority w:val="0"/>
    <w:pPr>
      <w:outlineLvl w:val="1"/>
    </w:pPr>
    <w:rPr>
      <w:rFonts w:ascii="楷体_GB2312" w:eastAsia="楷体_GB2312" w:hAnsiTheme="majorHAnsi" w:cstheme="majorBidi"/>
      <w:bCs/>
      <w:szCs w:val="32"/>
    </w:rPr>
  </w:style>
  <w:style w:type="paragraph" w:styleId="5">
    <w:name w:val="heading 3"/>
    <w:basedOn w:val="1"/>
    <w:next w:val="1"/>
    <w:unhideWhenUsed/>
    <w:qFormat/>
    <w:uiPriority w:val="0"/>
    <w:pPr>
      <w:keepNext/>
      <w:keepLines/>
      <w:spacing w:beforeLines="0" w:beforeAutospacing="0" w:afterLines="0" w:afterAutospacing="0" w:line="360" w:lineRule="auto"/>
      <w:outlineLvl w:val="2"/>
    </w:pPr>
    <w:rPr>
      <w:rFonts w:hAnsi="仿宋_GB2312"/>
      <w:b/>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rPr>
      <w:rFonts w:ascii="Times New Roman" w:hAnsi="Times New Roman" w:eastAsia="宋体" w:cs="Times New Roman"/>
      <w:szCs w:val="20"/>
    </w:rPr>
  </w:style>
  <w:style w:type="paragraph" w:styleId="3">
    <w:name w:val="Plain Text"/>
    <w:basedOn w:val="1"/>
    <w:qFormat/>
    <w:uiPriority w:val="0"/>
    <w:rPr>
      <w:rFonts w:ascii="宋体" w:hAnsi="Courier New"/>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26826</Words>
  <Characters>28423</Characters>
  <Lines>0</Lines>
  <Paragraphs>0</Paragraphs>
  <TotalTime>3</TotalTime>
  <ScaleCrop>false</ScaleCrop>
  <LinksUpToDate>false</LinksUpToDate>
  <CharactersWithSpaces>28519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2021-09-08T07:17:00Z</dcterms:created>
  <dc:creator>Agar</dc:creator>
  <cp:lastModifiedBy>待夏</cp:lastModifiedBy>
  <cp:lastPrinted>2022-04-25T08:35:00Z</cp:lastPrinted>
  <dcterms:modified xsi:type="dcterms:W3CDTF">2022-09-13T10:55:05Z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58A4A857CB2E4179A182F8E769A26634</vt:lpwstr>
  </property>
  <property fmtid="{D5CDD505-2E9C-101B-9397-08002B2CF9AE}" pid="4" name="commondata">
    <vt:lpwstr>eyJoZGlkIjoiNzcyMTUzNjE5NmMzOTRiNmY3NDllYTFhYWI0ODc3NzQifQ==</vt:lpwstr>
  </property>
</Properties>
</file>