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lang w:val="en-US" w:eastAsia="zh-CN"/>
        </w:rPr>
      </w:pPr>
    </w:p>
    <w:p>
      <w:pPr>
        <w:bidi w:val="0"/>
        <w:rPr>
          <w:rFonts w:hint="eastAsia"/>
          <w:lang w:val="en-US" w:eastAsia="zh-CN"/>
        </w:rPr>
      </w:pPr>
    </w:p>
    <w:p>
      <w:pPr>
        <w:keepNext w:val="0"/>
        <w:keepLines w:val="0"/>
        <w:pageBreakBefore w:val="0"/>
        <w:widowControl w:val="0"/>
        <w:kinsoku/>
        <w:wordWrap/>
        <w:overflowPunct/>
        <w:topLinePunct w:val="0"/>
        <w:bidi w:val="0"/>
        <w:snapToGrid/>
        <w:spacing w:line="360" w:lineRule="auto"/>
        <w:ind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宁武县凤凰小学建设项目支出</w:t>
      </w:r>
    </w:p>
    <w:p>
      <w:pPr>
        <w:keepNext w:val="0"/>
        <w:keepLines w:val="0"/>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黑体" w:hAnsi="黑体" w:eastAsia="黑体" w:cs="黑体"/>
          <w:b w:val="0"/>
          <w:bCs/>
          <w:kern w:val="0"/>
          <w:sz w:val="32"/>
          <w:szCs w:val="32"/>
        </w:rPr>
      </w:pPr>
      <w:r>
        <w:rPr>
          <w:rFonts w:hint="eastAsia" w:ascii="方正小标宋简体" w:hAnsi="方正小标宋简体" w:eastAsia="方正小标宋简体" w:cs="方正小标宋简体"/>
          <w:sz w:val="44"/>
          <w:szCs w:val="44"/>
          <w:lang w:val="en-US" w:eastAsia="zh-CN"/>
        </w:rPr>
        <w:t>绩效评价报告</w:t>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pStyle w:val="2"/>
        <w:rPr>
          <w:rFonts w:hint="eastAsia"/>
        </w:rPr>
      </w:pPr>
    </w:p>
    <w:p>
      <w:pPr>
        <w:pStyle w:val="2"/>
        <w:rPr>
          <w:rFonts w:hint="eastAsia"/>
        </w:rPr>
      </w:pPr>
    </w:p>
    <w:p>
      <w:pPr>
        <w:pStyle w:val="2"/>
        <w:rPr>
          <w:rFonts w:hint="eastAsia"/>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default"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val="en-US" w:eastAsia="zh-CN"/>
        </w:rPr>
        <w:t>单位名称</w:t>
      </w:r>
      <w:r>
        <w:rPr>
          <w:rFonts w:hint="eastAsia" w:ascii="黑体" w:hAnsi="黑体" w:eastAsia="黑体" w:cs="黑体"/>
          <w:b w:val="0"/>
          <w:bCs/>
          <w:kern w:val="0"/>
          <w:sz w:val="32"/>
          <w:szCs w:val="32"/>
        </w:rPr>
        <w:t>：</w:t>
      </w:r>
      <w:r>
        <w:rPr>
          <w:rFonts w:hint="eastAsia" w:ascii="黑体" w:hAnsi="黑体" w:eastAsia="黑体" w:cs="黑体"/>
          <w:b w:val="0"/>
          <w:bCs/>
          <w:kern w:val="0"/>
          <w:sz w:val="32"/>
          <w:szCs w:val="32"/>
          <w:lang w:val="en-US" w:eastAsia="zh-CN"/>
        </w:rPr>
        <w:t>宁武县教育科技局</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委托单位：</w:t>
      </w:r>
      <w:r>
        <w:rPr>
          <w:rFonts w:hint="eastAsia" w:ascii="黑体" w:hAnsi="黑体" w:eastAsia="黑体" w:cs="黑体"/>
          <w:b w:val="0"/>
          <w:bCs/>
          <w:kern w:val="0"/>
          <w:sz w:val="32"/>
          <w:szCs w:val="32"/>
          <w:lang w:val="en-US" w:eastAsia="zh-CN"/>
        </w:rPr>
        <w:t>宁武</w:t>
      </w:r>
      <w:r>
        <w:rPr>
          <w:rFonts w:hint="eastAsia" w:ascii="黑体" w:hAnsi="黑体" w:eastAsia="黑体" w:cs="黑体"/>
          <w:b w:val="0"/>
          <w:bCs/>
          <w:kern w:val="0"/>
          <w:sz w:val="32"/>
          <w:szCs w:val="32"/>
          <w:lang w:eastAsia="zh-CN"/>
        </w:rPr>
        <w:t>县</w:t>
      </w:r>
      <w:r>
        <w:rPr>
          <w:rFonts w:hint="eastAsia" w:ascii="黑体" w:hAnsi="黑体" w:eastAsia="黑体" w:cs="黑体"/>
          <w:b w:val="0"/>
          <w:bCs/>
          <w:kern w:val="0"/>
          <w:sz w:val="32"/>
          <w:szCs w:val="32"/>
        </w:rPr>
        <w:t>财政局</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评价机构：山西亚泰会计师事务所有限公司</w:t>
      </w:r>
    </w:p>
    <w:p>
      <w:pPr>
        <w:bidi w:val="0"/>
        <w:rPr>
          <w:rFonts w:hint="eastAsia"/>
        </w:rPr>
      </w:pPr>
    </w:p>
    <w:p>
      <w:pPr>
        <w:pStyle w:val="2"/>
        <w:keepNext w:val="0"/>
        <w:keepLines w:val="0"/>
        <w:pageBreakBefore w:val="0"/>
        <w:widowControl w:val="0"/>
        <w:kinsoku/>
        <w:wordWrap/>
        <w:overflowPunct/>
        <w:topLinePunct w:val="0"/>
        <w:autoSpaceDE/>
        <w:autoSpaceDN/>
        <w:bidi w:val="0"/>
        <w:adjustRightInd/>
        <w:snapToGrid/>
        <w:spacing w:before="0"/>
        <w:ind w:firstLine="0" w:firstLineChars="0"/>
        <w:jc w:val="center"/>
        <w:textAlignment w:val="auto"/>
        <w:rPr>
          <w:rFonts w:hint="eastAsia"/>
        </w:rPr>
        <w:sectPr>
          <w:headerReference r:id="rId5" w:type="default"/>
          <w:pgSz w:w="11906" w:h="16838"/>
          <w:pgMar w:top="2041" w:right="1417" w:bottom="1417" w:left="1531" w:header="851" w:footer="850" w:gutter="0"/>
          <w:pgBorders>
            <w:top w:val="none" w:sz="0" w:space="0"/>
            <w:left w:val="none" w:sz="0" w:space="0"/>
            <w:bottom w:val="none" w:sz="0" w:space="0"/>
            <w:right w:val="none" w:sz="0" w:space="0"/>
          </w:pgBorders>
          <w:cols w:space="425" w:num="1"/>
          <w:docGrid w:type="lines" w:linePitch="312" w:charSpace="0"/>
        </w:sectPr>
      </w:pPr>
      <w:r>
        <w:rPr>
          <w:rFonts w:hint="eastAsia" w:ascii="黑体" w:hAnsi="黑体" w:eastAsia="黑体" w:cs="黑体"/>
          <w:b w:val="0"/>
          <w:bCs/>
          <w:sz w:val="32"/>
          <w:szCs w:val="32"/>
          <w:lang w:val="en-US" w:eastAsia="zh-CN"/>
        </w:rPr>
        <w:t>二〇二一</w:t>
      </w:r>
      <w:r>
        <w:rPr>
          <w:rFonts w:hint="eastAsia" w:ascii="黑体" w:hAnsi="黑体" w:eastAsia="黑体" w:cs="黑体"/>
          <w:b w:val="0"/>
          <w:bCs/>
          <w:sz w:val="32"/>
          <w:szCs w:val="32"/>
        </w:rPr>
        <w:t>年</w:t>
      </w:r>
      <w:r>
        <w:rPr>
          <w:rFonts w:hint="eastAsia" w:ascii="黑体" w:hAnsi="黑体" w:eastAsia="黑体" w:cs="黑体"/>
          <w:b w:val="0"/>
          <w:bCs/>
          <w:sz w:val="32"/>
          <w:szCs w:val="32"/>
          <w:lang w:val="en-US" w:eastAsia="zh-CN"/>
        </w:rPr>
        <w:t>十</w:t>
      </w:r>
      <w:r>
        <w:rPr>
          <w:rFonts w:hint="eastAsia" w:ascii="黑体" w:hAnsi="黑体" w:eastAsia="黑体" w:cs="黑体"/>
          <w:b w:val="0"/>
          <w:bCs/>
          <w:sz w:val="32"/>
          <w:szCs w:val="32"/>
        </w:rPr>
        <w:t>月</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0"/>
        <w:rPr>
          <w:rFonts w:hint="eastAsia" w:ascii="方正小标宋简体" w:hAnsi="方正小标宋简体" w:eastAsia="方正小标宋简体" w:cs="方正小标宋简体"/>
          <w:sz w:val="36"/>
          <w:szCs w:val="36"/>
          <w:lang w:val="en-US" w:eastAsia="zh-CN"/>
        </w:rPr>
      </w:pPr>
      <w:bookmarkStart w:id="0" w:name="_Toc938"/>
      <w:bookmarkStart w:id="1" w:name="_Toc25941"/>
      <w:bookmarkStart w:id="2" w:name="_Toc51"/>
      <w:bookmarkStart w:id="3" w:name="_Toc5834"/>
      <w:bookmarkStart w:id="4" w:name="_Toc32666"/>
      <w:bookmarkStart w:id="5" w:name="_Toc28271"/>
      <w:bookmarkStart w:id="6" w:name="_Toc10222"/>
      <w:r>
        <w:rPr>
          <w:rFonts w:hint="eastAsia" w:ascii="方正小标宋简体" w:hAnsi="方正小标宋简体" w:eastAsia="方正小标宋简体" w:cs="方正小标宋简体"/>
          <w:sz w:val="36"/>
          <w:szCs w:val="36"/>
          <w:lang w:val="en-US" w:eastAsia="zh-CN"/>
        </w:rPr>
        <w:t>宁武县凤凰小学建设项目</w:t>
      </w:r>
      <w:bookmarkEnd w:id="0"/>
      <w:bookmarkEnd w:id="1"/>
      <w:r>
        <w:rPr>
          <w:rFonts w:hint="eastAsia" w:ascii="方正小标宋简体" w:hAnsi="方正小标宋简体" w:eastAsia="方正小标宋简体" w:cs="方正小标宋简体"/>
          <w:sz w:val="36"/>
          <w:szCs w:val="36"/>
          <w:lang w:val="en-US" w:eastAsia="zh-CN"/>
        </w:rPr>
        <w:t>支出</w:t>
      </w:r>
      <w:bookmarkEnd w:id="2"/>
      <w:bookmarkEnd w:id="3"/>
      <w:bookmarkEnd w:id="4"/>
      <w:bookmarkEnd w:id="5"/>
      <w:bookmarkEnd w:id="6"/>
    </w:p>
    <w:p>
      <w:pPr>
        <w:pStyle w:val="2"/>
        <w:keepNext w:val="0"/>
        <w:keepLines w:val="0"/>
        <w:pageBreakBefore w:val="0"/>
        <w:widowControl w:val="0"/>
        <w:kinsoku/>
        <w:wordWrap/>
        <w:overflowPunct/>
        <w:topLinePunct w:val="0"/>
        <w:autoSpaceDE/>
        <w:autoSpaceDN/>
        <w:bidi w:val="0"/>
        <w:adjustRightInd/>
        <w:snapToGrid/>
        <w:spacing w:before="0"/>
        <w:ind w:firstLine="0" w:firstLineChars="0"/>
        <w:jc w:val="center"/>
        <w:textAlignment w:val="auto"/>
        <w:outlineLvl w:val="0"/>
        <w:rPr>
          <w:rFonts w:hint="eastAsia" w:ascii="方正小标宋简体" w:hAnsi="方正小标宋简体" w:eastAsia="方正小标宋简体" w:cs="方正小标宋简体"/>
          <w:sz w:val="36"/>
          <w:szCs w:val="36"/>
          <w:lang w:val="en-US" w:eastAsia="zh-CN"/>
        </w:rPr>
      </w:pPr>
      <w:bookmarkStart w:id="7" w:name="_Toc25185"/>
      <w:bookmarkStart w:id="8" w:name="_Toc29997"/>
      <w:bookmarkStart w:id="9" w:name="_Toc21314"/>
      <w:bookmarkStart w:id="10" w:name="_Toc9356"/>
      <w:bookmarkStart w:id="11" w:name="_Toc14422"/>
      <w:bookmarkStart w:id="12" w:name="_Toc23641"/>
      <w:bookmarkStart w:id="13" w:name="_Toc23995"/>
      <w:bookmarkStart w:id="14" w:name="_Toc6706"/>
      <w:r>
        <w:rPr>
          <w:rFonts w:hint="eastAsia" w:ascii="方正小标宋简体" w:hAnsi="方正小标宋简体" w:eastAsia="方正小标宋简体" w:cs="方正小标宋简体"/>
          <w:sz w:val="36"/>
          <w:szCs w:val="36"/>
          <w:lang w:val="en-US" w:eastAsia="zh-CN"/>
        </w:rPr>
        <w:t>绩效评价报告</w:t>
      </w:r>
      <w:bookmarkEnd w:id="7"/>
      <w:bookmarkEnd w:id="8"/>
      <w:bookmarkEnd w:id="9"/>
      <w:bookmarkEnd w:id="10"/>
      <w:bookmarkEnd w:id="11"/>
      <w:bookmarkEnd w:id="12"/>
      <w:bookmarkEnd w:id="13"/>
      <w:bookmarkEnd w:id="14"/>
    </w:p>
    <w:p>
      <w:pPr>
        <w:bidi w:val="0"/>
        <w:rPr>
          <w:rFonts w:hint="eastAsia"/>
        </w:rPr>
      </w:pPr>
      <w:r>
        <w:rPr>
          <w:rFonts w:hint="eastAsia" w:ascii="仿宋_GB2312" w:hAnsi="仿宋_GB2312" w:eastAsia="仿宋_GB2312" w:cs="仿宋_GB2312"/>
          <w:i w:val="0"/>
          <w:iCs w:val="0"/>
          <w:caps w:val="0"/>
          <w:color w:val="000000"/>
          <w:spacing w:val="0"/>
          <w:sz w:val="28"/>
          <w:szCs w:val="27"/>
          <w:highlight w:val="none"/>
          <w:lang w:val="en-US" w:eastAsia="zh-CN"/>
        </w:rPr>
        <w:t>为深入贯彻落实《中共山西省委 山西省人民政府关于全面实施预算绩效管理的实施意见》（晋发〔201</w:t>
      </w:r>
      <w:r>
        <w:rPr>
          <w:rFonts w:hint="eastAsia" w:cs="仿宋_GB2312"/>
          <w:i w:val="0"/>
          <w:iCs w:val="0"/>
          <w:caps w:val="0"/>
          <w:color w:val="000000"/>
          <w:spacing w:val="0"/>
          <w:sz w:val="28"/>
          <w:szCs w:val="27"/>
          <w:highlight w:val="none"/>
          <w:lang w:val="en-US" w:eastAsia="zh-CN"/>
        </w:rPr>
        <w:t>8</w:t>
      </w:r>
      <w:r>
        <w:rPr>
          <w:rFonts w:hint="eastAsia" w:ascii="仿宋_GB2312" w:hAnsi="仿宋_GB2312" w:eastAsia="仿宋_GB2312" w:cs="仿宋_GB2312"/>
          <w:i w:val="0"/>
          <w:iCs w:val="0"/>
          <w:caps w:val="0"/>
          <w:color w:val="000000"/>
          <w:spacing w:val="0"/>
          <w:sz w:val="28"/>
          <w:szCs w:val="27"/>
          <w:highlight w:val="none"/>
          <w:lang w:val="en-US" w:eastAsia="zh-CN"/>
        </w:rPr>
        <w:t>〕39号）精神，全面实施预算绩效管理，提高财政资源配置效率和使用效益，增强财政支出的责任和效率意识，受</w:t>
      </w:r>
      <w:r>
        <w:rPr>
          <w:rFonts w:hint="eastAsia" w:cs="仿宋_GB2312"/>
          <w:i w:val="0"/>
          <w:iCs w:val="0"/>
          <w:caps w:val="0"/>
          <w:color w:val="000000"/>
          <w:spacing w:val="0"/>
          <w:sz w:val="28"/>
          <w:szCs w:val="27"/>
          <w:highlight w:val="none"/>
          <w:lang w:val="en-US" w:eastAsia="zh-CN"/>
        </w:rPr>
        <w:t>宁武县财政局</w:t>
      </w:r>
      <w:r>
        <w:rPr>
          <w:rFonts w:hint="eastAsia" w:ascii="仿宋_GB2312" w:hAnsi="仿宋_GB2312" w:eastAsia="仿宋_GB2312" w:cs="仿宋_GB2312"/>
          <w:i w:val="0"/>
          <w:iCs w:val="0"/>
          <w:caps w:val="0"/>
          <w:color w:val="000000"/>
          <w:spacing w:val="0"/>
          <w:sz w:val="28"/>
          <w:szCs w:val="27"/>
          <w:highlight w:val="none"/>
          <w:lang w:val="en-US" w:eastAsia="zh-CN"/>
        </w:rPr>
        <w:t>委托，</w:t>
      </w:r>
      <w:r>
        <w:rPr>
          <w:rFonts w:hint="eastAsia" w:cs="仿宋_GB2312"/>
          <w:i w:val="0"/>
          <w:iCs w:val="0"/>
          <w:caps w:val="0"/>
          <w:color w:val="000000"/>
          <w:spacing w:val="0"/>
          <w:sz w:val="28"/>
          <w:szCs w:val="27"/>
          <w:highlight w:val="none"/>
          <w:lang w:val="en-US" w:eastAsia="zh-CN"/>
        </w:rPr>
        <w:t>山西亚泰会计师事务所有限公司</w:t>
      </w:r>
      <w:r>
        <w:rPr>
          <w:rFonts w:hint="eastAsia" w:ascii="仿宋_GB2312" w:hAnsi="仿宋_GB2312" w:eastAsia="仿宋_GB2312" w:cs="仿宋_GB2312"/>
          <w:i w:val="0"/>
          <w:iCs w:val="0"/>
          <w:caps w:val="0"/>
          <w:color w:val="000000"/>
          <w:spacing w:val="0"/>
          <w:sz w:val="28"/>
          <w:szCs w:val="27"/>
          <w:highlight w:val="none"/>
          <w:lang w:val="en-US" w:eastAsia="zh-CN"/>
        </w:rPr>
        <w:t>于</w:t>
      </w:r>
      <w:r>
        <w:rPr>
          <w:rFonts w:hint="eastAsia" w:cs="仿宋_GB2312"/>
          <w:i w:val="0"/>
          <w:iCs w:val="0"/>
          <w:caps w:val="0"/>
          <w:color w:val="000000"/>
          <w:spacing w:val="0"/>
          <w:sz w:val="28"/>
          <w:szCs w:val="27"/>
          <w:highlight w:val="none"/>
          <w:lang w:val="en-US" w:eastAsia="zh-CN"/>
        </w:rPr>
        <w:t>2021年6月</w:t>
      </w:r>
      <w:r>
        <w:rPr>
          <w:rFonts w:hint="eastAsia" w:ascii="仿宋_GB2312" w:hAnsi="仿宋_GB2312" w:eastAsia="仿宋_GB2312" w:cs="仿宋_GB2312"/>
          <w:i w:val="0"/>
          <w:iCs w:val="0"/>
          <w:caps w:val="0"/>
          <w:color w:val="000000"/>
          <w:spacing w:val="0"/>
          <w:sz w:val="28"/>
          <w:szCs w:val="27"/>
          <w:highlight w:val="none"/>
          <w:lang w:val="en-US" w:eastAsia="zh-CN"/>
        </w:rPr>
        <w:t>对</w:t>
      </w:r>
      <w:r>
        <w:rPr>
          <w:rFonts w:hint="eastAsia"/>
          <w:lang w:val="en-US" w:eastAsia="zh-CN"/>
        </w:rPr>
        <w:t>宁武县凤凰小学建设项目支出</w:t>
      </w:r>
      <w:r>
        <w:rPr>
          <w:rFonts w:hint="eastAsia" w:ascii="仿宋_GB2312" w:hAnsi="仿宋_GB2312" w:eastAsia="仿宋_GB2312" w:cs="仿宋_GB2312"/>
          <w:i w:val="0"/>
          <w:iCs w:val="0"/>
          <w:caps w:val="0"/>
          <w:color w:val="000000"/>
          <w:spacing w:val="0"/>
          <w:sz w:val="28"/>
          <w:szCs w:val="27"/>
          <w:highlight w:val="none"/>
          <w:lang w:val="en-US" w:eastAsia="zh-CN"/>
        </w:rPr>
        <w:t>进行了绩效评价。</w:t>
      </w:r>
    </w:p>
    <w:p>
      <w:pPr>
        <w:pStyle w:val="4"/>
        <w:bidi w:val="0"/>
        <w:rPr>
          <w:rFonts w:hint="eastAsia"/>
          <w:lang w:val="en-US" w:eastAsia="zh-CN"/>
        </w:rPr>
      </w:pPr>
      <w:bookmarkStart w:id="15" w:name="_Toc29879"/>
      <w:bookmarkStart w:id="16" w:name="_Toc971"/>
      <w:bookmarkStart w:id="17" w:name="_Toc19252"/>
      <w:bookmarkStart w:id="18" w:name="_Toc449"/>
      <w:bookmarkStart w:id="19" w:name="_Toc26136"/>
      <w:r>
        <w:rPr>
          <w:rFonts w:hint="eastAsia"/>
          <w:lang w:val="en-US" w:eastAsia="zh-CN"/>
        </w:rPr>
        <w:t>一、项目基本情况</w:t>
      </w:r>
      <w:bookmarkEnd w:id="15"/>
      <w:bookmarkEnd w:id="16"/>
      <w:bookmarkEnd w:id="17"/>
      <w:bookmarkEnd w:id="18"/>
      <w:bookmarkEnd w:id="19"/>
    </w:p>
    <w:p>
      <w:pPr>
        <w:pStyle w:val="5"/>
        <w:bidi w:val="0"/>
        <w:rPr>
          <w:rFonts w:hint="default"/>
          <w:lang w:val="en-US" w:eastAsia="zh-CN"/>
        </w:rPr>
      </w:pPr>
      <w:bookmarkStart w:id="20" w:name="_Toc4768"/>
      <w:bookmarkStart w:id="21" w:name="_Toc27676"/>
      <w:bookmarkStart w:id="22" w:name="_Toc8828"/>
      <w:bookmarkStart w:id="23" w:name="_Toc76"/>
      <w:bookmarkStart w:id="24" w:name="_Toc23115"/>
      <w:r>
        <w:rPr>
          <w:rFonts w:hint="eastAsia"/>
          <w:lang w:val="en-US" w:eastAsia="zh-CN"/>
        </w:rPr>
        <w:t>（一）项目概况</w:t>
      </w:r>
      <w:bookmarkEnd w:id="20"/>
      <w:bookmarkEnd w:id="21"/>
      <w:bookmarkEnd w:id="22"/>
      <w:bookmarkEnd w:id="23"/>
      <w:bookmarkEnd w:id="24"/>
    </w:p>
    <w:p>
      <w:pPr>
        <w:pStyle w:val="6"/>
        <w:bidi w:val="0"/>
        <w:rPr>
          <w:rFonts w:hint="default"/>
          <w:lang w:val="en-US" w:eastAsia="zh-CN"/>
        </w:rPr>
      </w:pPr>
      <w:r>
        <w:rPr>
          <w:rFonts w:hint="eastAsia"/>
          <w:lang w:val="en-US" w:eastAsia="zh-CN"/>
        </w:rPr>
        <w:t>1.项目背景</w:t>
      </w:r>
    </w:p>
    <w:p>
      <w:pPr>
        <w:bidi w:val="0"/>
        <w:rPr>
          <w:rFonts w:hint="eastAsia"/>
        </w:rPr>
      </w:pPr>
      <w:r>
        <w:rPr>
          <w:rFonts w:hint="eastAsia"/>
        </w:rPr>
        <w:t>高举中国特色社会主义伟大旗帜，以邓小平理论和“三个代表”重要思想为指导，深入贯彻落实中共中央国务院印发的《国家中长期教育改革和发展规划纲要（2010</w:t>
      </w:r>
      <w:r>
        <w:rPr>
          <w:rFonts w:hint="eastAsia"/>
          <w:lang w:val="en-US" w:eastAsia="zh-CN"/>
        </w:rPr>
        <w:t>-</w:t>
      </w:r>
      <w:r>
        <w:rPr>
          <w:rFonts w:hint="eastAsia"/>
        </w:rPr>
        <w:t>2020年）》（中发</w:t>
      </w:r>
      <w:r>
        <w:rPr>
          <w:rFonts w:hint="eastAsia"/>
          <w:lang w:val="en-US" w:eastAsia="zh-CN"/>
        </w:rPr>
        <w:t>〔2010〕</w:t>
      </w:r>
      <w:r>
        <w:rPr>
          <w:rFonts w:hint="eastAsia"/>
        </w:rPr>
        <w:t>12号），坚持“优先发展、育人为本、改革创新、促进公平、提高质量”的工作方针，落实科教兴晋战略和人才强省战略，把教育摆在优先发展的战略地位，适应山西转型跨越发展对各类人才的需求，适应学生健康成长和全面发展的需求，适应人民群众对接受良好教育和终身教育的需求，遵循教育规律，办好人民满意的教育，全面推进教育事业科学发展，加快实现教育现代化</w:t>
      </w:r>
      <w:r>
        <w:rPr>
          <w:rFonts w:hint="eastAsia"/>
          <w:lang w:eastAsia="zh-CN"/>
        </w:rPr>
        <w:t>，</w:t>
      </w:r>
      <w:r>
        <w:rPr>
          <w:rFonts w:hint="eastAsia"/>
        </w:rPr>
        <w:t>制定《</w:t>
      </w:r>
      <w:r>
        <w:rPr>
          <w:rFonts w:hint="eastAsia"/>
          <w:lang w:val="en-US" w:eastAsia="zh-CN"/>
        </w:rPr>
        <w:t>山西省</w:t>
      </w:r>
      <w:r>
        <w:rPr>
          <w:rFonts w:hint="eastAsia"/>
        </w:rPr>
        <w:t>中长期教育改革和发展规划纲要（2010－2020年）》</w:t>
      </w:r>
      <w:r>
        <w:rPr>
          <w:rFonts w:hint="eastAsia"/>
          <w:lang w:eastAsia="zh-CN"/>
        </w:rPr>
        <w:t>（</w:t>
      </w:r>
      <w:r>
        <w:rPr>
          <w:rFonts w:hint="eastAsia"/>
          <w:lang w:val="en-US" w:eastAsia="zh-CN"/>
        </w:rPr>
        <w:t>以下简称《纲要》</w:t>
      </w:r>
      <w:r>
        <w:rPr>
          <w:rFonts w:hint="eastAsia"/>
          <w:lang w:eastAsia="zh-CN"/>
        </w:rPr>
        <w:t>），</w:t>
      </w:r>
      <w:r>
        <w:rPr>
          <w:rFonts w:hint="eastAsia"/>
          <w:lang w:val="en-US" w:eastAsia="zh-CN"/>
        </w:rPr>
        <w:t>对义务教育阶段做出要求：到2020年，全面提高普及水平，全面提高教育质量，基本实现区域内均衡发展，确保适龄儿童少</w:t>
      </w:r>
      <w:bookmarkStart w:id="97" w:name="_GoBack"/>
      <w:bookmarkEnd w:id="97"/>
      <w:r>
        <w:rPr>
          <w:rFonts w:hint="eastAsia"/>
          <w:lang w:val="en-US" w:eastAsia="zh-CN"/>
        </w:rPr>
        <w:t>年接受义务教育。按照《纲要》总体要求，结合实际提出</w:t>
      </w:r>
      <w:r>
        <w:rPr>
          <w:rFonts w:hint="eastAsia"/>
          <w:lang w:eastAsia="zh-CN"/>
        </w:rPr>
        <w:t>《</w:t>
      </w:r>
      <w:r>
        <w:rPr>
          <w:rFonts w:hint="eastAsia"/>
        </w:rPr>
        <w:t>山西省人民政府办公厅关于印发山西省中长期教育改革和发展规划纲要(2010-2020年)任务分工的通知</w:t>
      </w:r>
      <w:r>
        <w:rPr>
          <w:rFonts w:hint="eastAsia"/>
          <w:lang w:eastAsia="zh-CN"/>
        </w:rPr>
        <w:t>》（</w:t>
      </w:r>
      <w:r>
        <w:rPr>
          <w:rFonts w:hint="eastAsia"/>
        </w:rPr>
        <w:t>晋政办发〔2011〕102号</w:t>
      </w:r>
      <w:r>
        <w:rPr>
          <w:rFonts w:hint="eastAsia"/>
          <w:lang w:eastAsia="zh-CN"/>
        </w:rPr>
        <w:t>），</w:t>
      </w:r>
      <w:r>
        <w:rPr>
          <w:rFonts w:hint="eastAsia"/>
          <w:lang w:val="en-US" w:eastAsia="zh-CN"/>
        </w:rPr>
        <w:t>山西</w:t>
      </w:r>
      <w:r>
        <w:rPr>
          <w:rFonts w:hint="eastAsia"/>
        </w:rPr>
        <w:t>省政府成立教育体制改革领导小组，研究部署、指导实施教育改革工作。</w:t>
      </w:r>
      <w:r>
        <w:rPr>
          <w:rFonts w:hint="eastAsia"/>
          <w:lang w:val="en-US" w:eastAsia="zh-CN"/>
        </w:rPr>
        <w:t>山西</w:t>
      </w:r>
      <w:r>
        <w:rPr>
          <w:rFonts w:hint="eastAsia"/>
        </w:rPr>
        <w:t>省教育厅负责规划纲要实施的组织协调，发展改革、财政及人力资源社会保障等部门要认真履职，密切协作，共同抓好贯彻落实。各地要抓紧研究</w:t>
      </w:r>
      <w:r>
        <w:rPr>
          <w:rFonts w:hint="eastAsia"/>
          <w:lang w:val="en-US" w:eastAsia="zh-CN"/>
        </w:rPr>
        <w:t>制定</w:t>
      </w:r>
      <w:r>
        <w:rPr>
          <w:rFonts w:hint="eastAsia"/>
        </w:rPr>
        <w:t>切实可行的实施方案，积极推进教育事业改革发展，为规划纲要实施创造良好社会环境和舆论氛围。</w:t>
      </w:r>
    </w:p>
    <w:p>
      <w:pPr>
        <w:bidi w:val="0"/>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14:textFill>
            <w14:solidFill>
              <w14:schemeClr w14:val="tx1"/>
            </w14:solidFill>
          </w14:textFill>
        </w:rPr>
        <w:t>中共中央国务院</w:t>
      </w:r>
      <w:r>
        <w:rPr>
          <w:rFonts w:hint="eastAsia"/>
          <w:b w:val="0"/>
          <w:bCs w:val="0"/>
          <w:color w:val="000000" w:themeColor="text1"/>
          <w:lang w:val="en-US" w:eastAsia="zh-CN"/>
          <w14:textFill>
            <w14:solidFill>
              <w14:schemeClr w14:val="tx1"/>
            </w14:solidFill>
          </w14:textFill>
        </w:rPr>
        <w:t>于2019年印发了</w:t>
      </w:r>
      <w:r>
        <w:rPr>
          <w:rFonts w:hint="eastAsia"/>
          <w:b w:val="0"/>
          <w:bCs w:val="0"/>
          <w:color w:val="000000" w:themeColor="text1"/>
          <w14:textFill>
            <w14:solidFill>
              <w14:schemeClr w14:val="tx1"/>
            </w14:solidFill>
          </w14:textFill>
        </w:rPr>
        <w:t>《中国教育现代化2035》</w:t>
      </w:r>
      <w:r>
        <w:rPr>
          <w:rFonts w:hint="eastAsia"/>
          <w:b w:val="0"/>
          <w:bCs w:val="0"/>
          <w:color w:val="000000" w:themeColor="text1"/>
          <w:lang w:eastAsia="zh-CN"/>
          <w14:textFill>
            <w14:solidFill>
              <w14:schemeClr w14:val="tx1"/>
            </w14:solidFill>
          </w14:textFill>
        </w:rPr>
        <w:t>、</w:t>
      </w:r>
      <w:r>
        <w:rPr>
          <w:rFonts w:hint="eastAsia"/>
          <w:b w:val="0"/>
          <w:bCs w:val="0"/>
          <w:color w:val="000000" w:themeColor="text1"/>
          <w14:textFill>
            <w14:solidFill>
              <w14:schemeClr w14:val="tx1"/>
            </w14:solidFill>
          </w14:textFill>
        </w:rPr>
        <w:t>《加快推进教育现代化实施方案（2018－2022年）》</w:t>
      </w:r>
      <w:r>
        <w:rPr>
          <w:rFonts w:hint="eastAsia"/>
          <w:b w:val="0"/>
          <w:bCs w:val="0"/>
          <w:color w:val="000000" w:themeColor="text1"/>
          <w:lang w:eastAsia="zh-CN"/>
          <w14:textFill>
            <w14:solidFill>
              <w14:schemeClr w14:val="tx1"/>
            </w14:solidFill>
          </w14:textFill>
        </w:rPr>
        <w:t>，</w:t>
      </w:r>
      <w:r>
        <w:rPr>
          <w:rFonts w:hint="eastAsia"/>
          <w:b w:val="0"/>
          <w:bCs w:val="0"/>
          <w:color w:val="000000" w:themeColor="text1"/>
          <w:lang w:val="en-US" w:eastAsia="zh-CN"/>
          <w14:textFill>
            <w14:solidFill>
              <w14:schemeClr w14:val="tx1"/>
            </w14:solidFill>
          </w14:textFill>
        </w:rPr>
        <w:t>提出2018年-2022年推进教育现代化指导思想：</w:t>
      </w:r>
      <w:r>
        <w:rPr>
          <w:rFonts w:hint="default"/>
          <w:b w:val="0"/>
          <w:bCs w:val="0"/>
          <w:color w:val="000000" w:themeColor="text1"/>
          <w14:textFill>
            <w14:solidFill>
              <w14:schemeClr w14:val="tx1"/>
            </w14:solidFill>
          </w14:textFill>
        </w:rPr>
        <w:t>以习近平</w:t>
      </w:r>
      <w:r>
        <w:rPr>
          <w:b w:val="0"/>
          <w:bCs w:val="0"/>
          <w:color w:val="000000" w:themeColor="text1"/>
          <w14:textFill>
            <w14:solidFill>
              <w14:schemeClr w14:val="tx1"/>
            </w14:solidFill>
          </w14:textFill>
        </w:rPr>
        <w:t>新时代中国</w:t>
      </w:r>
      <w:r>
        <w:rPr>
          <w:rFonts w:hint="default"/>
          <w:b w:val="0"/>
          <w:bCs w:val="0"/>
          <w:color w:val="000000" w:themeColor="text1"/>
          <w14:textFill>
            <w14:solidFill>
              <w14:schemeClr w14:val="tx1"/>
            </w14:solidFill>
          </w14:textFill>
        </w:rPr>
        <w:fldChar w:fldCharType="begin"/>
      </w:r>
      <w:r>
        <w:rPr>
          <w:rFonts w:hint="default"/>
          <w:b w:val="0"/>
          <w:bCs w:val="0"/>
          <w:color w:val="000000" w:themeColor="text1"/>
          <w14:textFill>
            <w14:solidFill>
              <w14:schemeClr w14:val="tx1"/>
            </w14:solidFill>
          </w14:textFill>
        </w:rPr>
        <w:instrText xml:space="preserve"> HYPERLINK "https://baike.baidu.com/item/%E7%89%B9%E8%89%B2%E7%A4%BE%E4%BC%9A%E4%B8%BB%E4%B9%89/9180668" \t "https://baike.baidu.com/item/%E4%B8%AD%E5%9B%BD%E6%95%99%E8%82%B2%E7%8E%B0%E4%BB%A3%E5%8C%962035/_blank" </w:instrText>
      </w:r>
      <w:r>
        <w:rPr>
          <w:rFonts w:hint="default"/>
          <w:b w:val="0"/>
          <w:bCs w:val="0"/>
          <w:color w:val="000000" w:themeColor="text1"/>
          <w14:textFill>
            <w14:solidFill>
              <w14:schemeClr w14:val="tx1"/>
            </w14:solidFill>
          </w14:textFill>
        </w:rPr>
        <w:fldChar w:fldCharType="separate"/>
      </w:r>
      <w:r>
        <w:rPr>
          <w:rFonts w:hint="default"/>
          <w:b w:val="0"/>
          <w:bCs w:val="0"/>
          <w:color w:val="000000" w:themeColor="text1"/>
          <w14:textFill>
            <w14:solidFill>
              <w14:schemeClr w14:val="tx1"/>
            </w14:solidFill>
          </w14:textFill>
        </w:rPr>
        <w:t>特色社会主义</w:t>
      </w:r>
      <w:r>
        <w:rPr>
          <w:rFonts w:hint="default"/>
          <w:b w:val="0"/>
          <w:bCs w:val="0"/>
          <w:color w:val="000000" w:themeColor="text1"/>
          <w14:textFill>
            <w14:solidFill>
              <w14:schemeClr w14:val="tx1"/>
            </w14:solidFill>
          </w14:textFill>
        </w:rPr>
        <w:fldChar w:fldCharType="end"/>
      </w:r>
      <w:r>
        <w:rPr>
          <w:rFonts w:hint="default"/>
          <w:b w:val="0"/>
          <w:bCs w:val="0"/>
          <w:color w:val="000000" w:themeColor="text1"/>
          <w14:textFill>
            <w14:solidFill>
              <w14:schemeClr w14:val="tx1"/>
            </w14:solidFill>
          </w14:textFill>
        </w:rPr>
        <w:t>思想为指导，全面贯彻党的十九大和十九届二中、三中全会精神，坚定实施</w:t>
      </w:r>
      <w:r>
        <w:rPr>
          <w:rFonts w:hint="default"/>
          <w:b w:val="0"/>
          <w:bCs w:val="0"/>
          <w:color w:val="000000" w:themeColor="text1"/>
          <w14:textFill>
            <w14:solidFill>
              <w14:schemeClr w14:val="tx1"/>
            </w14:solidFill>
          </w14:textFill>
        </w:rPr>
        <w:fldChar w:fldCharType="begin"/>
      </w:r>
      <w:r>
        <w:rPr>
          <w:rFonts w:hint="default"/>
          <w:b w:val="0"/>
          <w:bCs w:val="0"/>
          <w:color w:val="000000" w:themeColor="text1"/>
          <w14:textFill>
            <w14:solidFill>
              <w14:schemeClr w14:val="tx1"/>
            </w14:solidFill>
          </w14:textFill>
        </w:rPr>
        <w:instrText xml:space="preserve"> HYPERLINK "https://baike.baidu.com/item/%E7%A7%91%E6%95%99%E5%85%B4%E5%9B%BD%E6%88%98%E7%95%A5/3072017" \t "https://baike.baidu.com/item/%E4%B8%AD%E5%9B%BD%E6%95%99%E8%82%B2%E7%8E%B0%E4%BB%A3%E5%8C%962035/_blank" </w:instrText>
      </w:r>
      <w:r>
        <w:rPr>
          <w:rFonts w:hint="default"/>
          <w:b w:val="0"/>
          <w:bCs w:val="0"/>
          <w:color w:val="000000" w:themeColor="text1"/>
          <w14:textFill>
            <w14:solidFill>
              <w14:schemeClr w14:val="tx1"/>
            </w14:solidFill>
          </w14:textFill>
        </w:rPr>
        <w:fldChar w:fldCharType="separate"/>
      </w:r>
      <w:r>
        <w:rPr>
          <w:rFonts w:hint="default"/>
          <w:b w:val="0"/>
          <w:bCs w:val="0"/>
          <w:color w:val="000000" w:themeColor="text1"/>
          <w14:textFill>
            <w14:solidFill>
              <w14:schemeClr w14:val="tx1"/>
            </w14:solidFill>
          </w14:textFill>
        </w:rPr>
        <w:t>科教兴国战略</w:t>
      </w:r>
      <w:r>
        <w:rPr>
          <w:rFonts w:hint="default"/>
          <w:b w:val="0"/>
          <w:bCs w:val="0"/>
          <w:color w:val="000000" w:themeColor="text1"/>
          <w14:textFill>
            <w14:solidFill>
              <w14:schemeClr w14:val="tx1"/>
            </w14:solidFill>
          </w14:textFill>
        </w:rPr>
        <w:fldChar w:fldCharType="end"/>
      </w:r>
      <w:r>
        <w:rPr>
          <w:rFonts w:hint="default"/>
          <w:b w:val="0"/>
          <w:bCs w:val="0"/>
          <w:color w:val="000000" w:themeColor="text1"/>
          <w14:textFill>
            <w14:solidFill>
              <w14:schemeClr w14:val="tx1"/>
            </w14:solidFill>
          </w14:textFill>
        </w:rPr>
        <w:t>、</w:t>
      </w:r>
      <w:r>
        <w:rPr>
          <w:rFonts w:hint="default"/>
          <w:b w:val="0"/>
          <w:bCs w:val="0"/>
          <w:color w:val="000000" w:themeColor="text1"/>
          <w14:textFill>
            <w14:solidFill>
              <w14:schemeClr w14:val="tx1"/>
            </w14:solidFill>
          </w14:textFill>
        </w:rPr>
        <w:fldChar w:fldCharType="begin"/>
      </w:r>
      <w:r>
        <w:rPr>
          <w:rFonts w:hint="default"/>
          <w:b w:val="0"/>
          <w:bCs w:val="0"/>
          <w:color w:val="000000" w:themeColor="text1"/>
          <w14:textFill>
            <w14:solidFill>
              <w14:schemeClr w14:val="tx1"/>
            </w14:solidFill>
          </w14:textFill>
        </w:rPr>
        <w:instrText xml:space="preserve"> HYPERLINK "https://baike.baidu.com/item/%E4%BA%BA%E6%89%8D%E5%BC%BA%E5%9B%BD%E6%88%98%E7%95%A5/5191334" \t "https://baike.baidu.com/item/%E4%B8%AD%E5%9B%BD%E6%95%99%E8%82%B2%E7%8E%B0%E4%BB%A3%E5%8C%962035/_blank" </w:instrText>
      </w:r>
      <w:r>
        <w:rPr>
          <w:rFonts w:hint="default"/>
          <w:b w:val="0"/>
          <w:bCs w:val="0"/>
          <w:color w:val="000000" w:themeColor="text1"/>
          <w14:textFill>
            <w14:solidFill>
              <w14:schemeClr w14:val="tx1"/>
            </w14:solidFill>
          </w14:textFill>
        </w:rPr>
        <w:fldChar w:fldCharType="separate"/>
      </w:r>
      <w:r>
        <w:rPr>
          <w:rFonts w:hint="default"/>
          <w:b w:val="0"/>
          <w:bCs w:val="0"/>
          <w:color w:val="000000" w:themeColor="text1"/>
          <w14:textFill>
            <w14:solidFill>
              <w14:schemeClr w14:val="tx1"/>
            </w14:solidFill>
          </w14:textFill>
        </w:rPr>
        <w:t>人才强国战略</w:t>
      </w:r>
      <w:r>
        <w:rPr>
          <w:rFonts w:hint="default"/>
          <w:b w:val="0"/>
          <w:bCs w:val="0"/>
          <w:color w:val="000000" w:themeColor="text1"/>
          <w14:textFill>
            <w14:solidFill>
              <w14:schemeClr w14:val="tx1"/>
            </w14:solidFill>
          </w14:textFill>
        </w:rPr>
        <w:fldChar w:fldCharType="end"/>
      </w:r>
      <w:r>
        <w:rPr>
          <w:rFonts w:hint="default"/>
          <w:b w:val="0"/>
          <w:bCs w:val="0"/>
          <w:color w:val="000000" w:themeColor="text1"/>
          <w14:textFill>
            <w14:solidFill>
              <w14:schemeClr w14:val="tx1"/>
            </w14:solidFill>
          </w14:textFill>
        </w:rPr>
        <w:t>，紧紧围绕统筹推进“五位一体”总体布局和协调推进“四个全面”战略布局，坚定“四个自信”，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r>
        <w:rPr>
          <w:rFonts w:hint="eastAsia"/>
          <w:b w:val="0"/>
          <w:bCs w:val="0"/>
          <w:color w:val="000000" w:themeColor="text1"/>
          <w:lang w:val="en-US" w:eastAsia="zh-CN"/>
          <w14:textFill>
            <w14:solidFill>
              <w14:schemeClr w14:val="tx1"/>
            </w14:solidFill>
          </w14:textFill>
        </w:rPr>
        <w:t>以培养社会主义建设者和接班人为根本任务，以全面加强党对教育工作的领导为根本保证，以促进公平和提高质量为时代主题，围绕加快推进教育现代化这一主线，聚焦教育发展的战略性问题、紧迫性问题和人民群众关心的问题，统筹实施各类工程项目和行动计划，着力深化改革、激发活力，着力补齐短板、优化结构，更好发挥教育服务国计民生的作用，确保完成决胜全面建成小康社会教育目标任务，为推动高质量发展、实现2035年奋斗目标夯实基础。</w:t>
      </w:r>
    </w:p>
    <w:p>
      <w:pPr>
        <w:bidi w:val="0"/>
        <w:rPr>
          <w:rFonts w:hint="default"/>
          <w:lang w:val="en-US" w:eastAsia="zh-CN"/>
        </w:rPr>
      </w:pPr>
      <w:r>
        <w:rPr>
          <w:rFonts w:hint="eastAsia"/>
          <w:lang w:val="en-US" w:eastAsia="zh-CN"/>
        </w:rPr>
        <w:t>忻州市多次</w:t>
      </w:r>
      <w:r>
        <w:rPr>
          <w:rFonts w:hint="eastAsia"/>
        </w:rPr>
        <w:t>围绕进一步深化全市教育改革规范发展</w:t>
      </w:r>
      <w:r>
        <w:rPr>
          <w:rFonts w:hint="eastAsia"/>
          <w:lang w:val="en-US" w:eastAsia="zh-CN"/>
        </w:rPr>
        <w:t>召开专题会议</w:t>
      </w:r>
      <w:r>
        <w:rPr>
          <w:rFonts w:hint="eastAsia"/>
        </w:rPr>
        <w:t>进行研究讨论</w:t>
      </w:r>
      <w:r>
        <w:rPr>
          <w:rFonts w:hint="eastAsia"/>
          <w:lang w:eastAsia="zh-CN"/>
        </w:rPr>
        <w:t>，</w:t>
      </w:r>
      <w:r>
        <w:rPr>
          <w:rFonts w:hint="eastAsia"/>
          <w:lang w:val="en-US" w:eastAsia="zh-CN"/>
        </w:rPr>
        <w:t>强调</w:t>
      </w:r>
      <w:r>
        <w:rPr>
          <w:rFonts w:hint="eastAsia"/>
        </w:rPr>
        <w:t>教育是一项打基础利长远的工作，进一步深化全市教育改革规范发展，必须深入学习贯彻落实习近平总书记在全国教育大会上的讲话精神，将其作为做好教育工作的根本遵循，将闪耀着马克思主义思想光辉的“九个坚持”与忻州实际相结合，尊重人的成长成才规律、尊重教育发展规律、尊重城镇化发展规律、尊重社会发展规律、尊重人口发展规律，坚持全面贯彻党的教育方针、全面深化改革、全面加强规范、全面推进发展、全面加强党的领导。</w:t>
      </w:r>
      <w:r>
        <w:rPr>
          <w:rFonts w:hint="eastAsia"/>
          <w:lang w:val="en-US" w:eastAsia="zh-CN"/>
        </w:rPr>
        <w:t>依据《关于城区建设项目和村镇建设项目的专题会议纪要》（宁武县人民政府专题会议纪要〔2018〕9次）通过宁武县凤凰小学建设项目，宁武县人民政府《全县脱贫攻坚专题会议纪要》（脱贫攻坚会议纪要〔2020〕2次）议定凤凰小学纳入扶贫移民建设项目，有利于提升宁武县义务教育的办学条件，推进义务教育均衡发展。</w:t>
      </w:r>
    </w:p>
    <w:p>
      <w:pPr>
        <w:pStyle w:val="6"/>
        <w:bidi w:val="0"/>
        <w:rPr>
          <w:rFonts w:hint="default" w:eastAsia="仿宋_GB2312"/>
          <w:lang w:val="en-US" w:eastAsia="zh-CN"/>
        </w:rPr>
      </w:pPr>
      <w:bookmarkStart w:id="25" w:name="_Toc72769075"/>
      <w:bookmarkStart w:id="26" w:name="_Toc72708096"/>
      <w:r>
        <w:rPr>
          <w:rFonts w:hint="eastAsia"/>
          <w:lang w:val="en-US" w:eastAsia="zh-CN"/>
        </w:rPr>
        <w:t>2</w:t>
      </w:r>
      <w:r>
        <w:rPr>
          <w:rFonts w:hint="eastAsia"/>
        </w:rPr>
        <w:t>.</w:t>
      </w:r>
      <w:bookmarkEnd w:id="25"/>
      <w:bookmarkEnd w:id="26"/>
      <w:r>
        <w:rPr>
          <w:rFonts w:hint="eastAsia"/>
          <w:lang w:val="en-US" w:eastAsia="zh-CN"/>
        </w:rPr>
        <w:t>主要内容及实施情况</w:t>
      </w:r>
    </w:p>
    <w:p>
      <w:pPr>
        <w:bidi w:val="0"/>
      </w:pPr>
      <w:r>
        <w:rPr>
          <w:rFonts w:hint="eastAsia"/>
        </w:rPr>
        <w:t>（1）项目实施时间</w:t>
      </w:r>
    </w:p>
    <w:p>
      <w:pPr>
        <w:bidi w:val="0"/>
        <w:rPr>
          <w:rFonts w:hint="eastAsia"/>
        </w:rPr>
      </w:pPr>
      <w:r>
        <w:rPr>
          <w:rFonts w:hint="eastAsia"/>
          <w:lang w:val="en-US" w:eastAsia="zh-CN"/>
        </w:rPr>
        <w:t>宁武县凤凰小学建设项目</w:t>
      </w:r>
      <w:r>
        <w:rPr>
          <w:rFonts w:hint="eastAsia"/>
        </w:rPr>
        <w:t>原计划为：2019年11月—2021年11月</w:t>
      </w:r>
      <w:r>
        <w:rPr>
          <w:rFonts w:hint="eastAsia"/>
          <w:lang w:eastAsia="zh-CN"/>
        </w:rPr>
        <w:t>。</w:t>
      </w:r>
      <w:r>
        <w:rPr>
          <w:rFonts w:hint="eastAsia"/>
        </w:rPr>
        <w:t>因拆迁征地、高空电力改造难度大，不能如期开工，报发改局、统计局、自然资源局及相关部门，</w:t>
      </w:r>
      <w:r>
        <w:rPr>
          <w:rFonts w:hint="eastAsia"/>
          <w:lang w:val="en-US" w:eastAsia="zh-CN"/>
        </w:rPr>
        <w:t>合同中约定施工工期</w:t>
      </w:r>
      <w:r>
        <w:rPr>
          <w:rFonts w:hint="eastAsia"/>
        </w:rPr>
        <w:t>：2020年</w:t>
      </w:r>
      <w:r>
        <w:rPr>
          <w:rFonts w:hint="eastAsia"/>
          <w:lang w:val="en-US" w:eastAsia="zh-CN"/>
        </w:rPr>
        <w:t>9</w:t>
      </w:r>
      <w:r>
        <w:rPr>
          <w:rFonts w:hint="eastAsia"/>
        </w:rPr>
        <w:t>月</w:t>
      </w:r>
      <w:r>
        <w:rPr>
          <w:rFonts w:hint="eastAsia"/>
          <w:lang w:val="en-US" w:eastAsia="zh-CN"/>
        </w:rPr>
        <w:t>26日</w:t>
      </w:r>
      <w:r>
        <w:rPr>
          <w:rFonts w:hint="eastAsia"/>
        </w:rPr>
        <w:t>—2022年</w:t>
      </w:r>
      <w:r>
        <w:rPr>
          <w:rFonts w:hint="eastAsia"/>
          <w:lang w:val="en-US" w:eastAsia="zh-CN"/>
        </w:rPr>
        <w:t>9</w:t>
      </w:r>
      <w:r>
        <w:rPr>
          <w:rFonts w:hint="eastAsia"/>
        </w:rPr>
        <w:t>月</w:t>
      </w:r>
      <w:r>
        <w:rPr>
          <w:rFonts w:hint="eastAsia"/>
          <w:lang w:val="en-US" w:eastAsia="zh-CN"/>
        </w:rPr>
        <w:t>26日</w:t>
      </w:r>
      <w:r>
        <w:rPr>
          <w:rFonts w:hint="eastAsia"/>
        </w:rPr>
        <w:t>，</w:t>
      </w:r>
      <w:r>
        <w:rPr>
          <w:rFonts w:hint="eastAsia"/>
          <w:lang w:val="en-US" w:eastAsia="zh-CN"/>
        </w:rPr>
        <w:t>总日历天730天</w:t>
      </w:r>
      <w:r>
        <w:rPr>
          <w:rFonts w:hint="eastAsia"/>
        </w:rPr>
        <w:t>。</w:t>
      </w:r>
    </w:p>
    <w:p>
      <w:pPr>
        <w:ind w:firstLine="560"/>
      </w:pPr>
      <w:r>
        <w:rPr>
          <w:rFonts w:hint="eastAsia"/>
        </w:rPr>
        <w:t>（2）项目内容与范围</w:t>
      </w:r>
    </w:p>
    <w:p>
      <w:pPr>
        <w:bidi w:val="0"/>
        <w:rPr>
          <w:rFonts w:hint="eastAsia"/>
        </w:rPr>
      </w:pPr>
      <w:r>
        <w:rPr>
          <w:rFonts w:hint="eastAsia"/>
        </w:rPr>
        <w:t>宁武县凤凰小学建设项目拟新建一座四轨制六年义务教育小学，设24个班，招生规模为1080人。规划总用地面积为20010㎡(30亩)，建筑面积6300㎡，绿化用地6000㎡，项目容积率为0.31，建筑密度为7.87%，绿地率为30%。</w:t>
      </w:r>
    </w:p>
    <w:p>
      <w:pPr>
        <w:bidi w:val="0"/>
        <w:rPr>
          <w:rFonts w:hint="eastAsia"/>
        </w:rPr>
      </w:pPr>
      <w:r>
        <w:rPr>
          <w:rFonts w:hint="eastAsia"/>
        </w:rPr>
        <w:t>项目建设内容主要有一栋主体四层综合教学楼、一个标准400米跑道的运动场及校园绿化硬化。</w:t>
      </w:r>
    </w:p>
    <w:p>
      <w:pPr>
        <w:pStyle w:val="5"/>
        <w:bidi w:val="0"/>
      </w:pPr>
      <w:bookmarkStart w:id="27" w:name="_Toc23069"/>
      <w:r>
        <w:rPr>
          <w:rFonts w:hint="eastAsia"/>
          <w:lang w:val="en-US" w:eastAsia="zh-CN"/>
        </w:rPr>
        <w:t>（二）资金投入和使用情况</w:t>
      </w:r>
      <w:bookmarkEnd w:id="27"/>
      <w:r>
        <w:rPr>
          <w:rFonts w:hint="eastAsia"/>
        </w:rPr>
        <w:tab/>
      </w:r>
    </w:p>
    <w:p>
      <w:pPr>
        <w:pStyle w:val="6"/>
        <w:bidi w:val="0"/>
        <w:rPr>
          <w:rFonts w:hint="default"/>
          <w:lang w:val="en-US" w:eastAsia="zh-CN"/>
        </w:rPr>
      </w:pPr>
      <w:r>
        <w:rPr>
          <w:rFonts w:hint="eastAsia"/>
          <w:lang w:val="en-US" w:eastAsia="zh-CN"/>
        </w:rPr>
        <w:t>1.资金投入情况</w:t>
      </w:r>
    </w:p>
    <w:p>
      <w:pPr>
        <w:bidi w:val="0"/>
        <w:rPr>
          <w:rFonts w:hint="default" w:eastAsia="仿宋_GB2312"/>
          <w:lang w:val="en-US" w:eastAsia="zh-CN"/>
        </w:rPr>
      </w:pPr>
      <w:r>
        <w:rPr>
          <w:rFonts w:hint="eastAsia"/>
        </w:rPr>
        <w:t>宁武县凤凰小学建设项目</w:t>
      </w:r>
      <w:r>
        <w:rPr>
          <w:rFonts w:hint="eastAsia"/>
          <w:lang w:val="en-US" w:eastAsia="zh-CN"/>
        </w:rPr>
        <w:t>3,000万元资金来源于2020年土地指标跨省域调剂收入安排的支出，截至</w:t>
      </w:r>
      <w:r>
        <w:rPr>
          <w:rFonts w:hint="eastAsia"/>
        </w:rPr>
        <w:t>2021年</w:t>
      </w:r>
      <w:r>
        <w:rPr>
          <w:rFonts w:hint="eastAsia"/>
          <w:lang w:val="en-US" w:eastAsia="zh-CN"/>
        </w:rPr>
        <w:t>9</w:t>
      </w:r>
      <w:r>
        <w:rPr>
          <w:rFonts w:hint="eastAsia"/>
        </w:rPr>
        <w:t>月</w:t>
      </w:r>
      <w:r>
        <w:rPr>
          <w:rFonts w:hint="eastAsia"/>
          <w:lang w:val="en-US" w:eastAsia="zh-CN"/>
        </w:rPr>
        <w:t>3</w:t>
      </w:r>
      <w:r>
        <w:rPr>
          <w:rFonts w:hint="eastAsia"/>
        </w:rPr>
        <w:t>0日</w:t>
      </w:r>
      <w:r>
        <w:rPr>
          <w:rFonts w:hint="eastAsia"/>
          <w:lang w:val="en-US" w:eastAsia="zh-CN"/>
        </w:rPr>
        <w:t>，资金全部到位。</w:t>
      </w:r>
    </w:p>
    <w:p>
      <w:pPr>
        <w:pStyle w:val="6"/>
        <w:bidi w:val="0"/>
        <w:rPr>
          <w:rFonts w:hint="default"/>
          <w:lang w:val="en-US" w:eastAsia="zh-CN"/>
        </w:rPr>
      </w:pPr>
      <w:r>
        <w:rPr>
          <w:rFonts w:hint="eastAsia"/>
          <w:lang w:val="en-US" w:eastAsia="zh-CN"/>
        </w:rPr>
        <w:t>2.资金使用情况</w:t>
      </w:r>
    </w:p>
    <w:p>
      <w:pPr>
        <w:rPr>
          <w:rFonts w:hint="eastAsia"/>
          <w:lang w:val="en-US" w:eastAsia="zh-CN"/>
        </w:rPr>
      </w:pPr>
      <w:r>
        <w:rPr>
          <w:rFonts w:hint="eastAsia"/>
          <w:lang w:val="en-US" w:eastAsia="zh-CN"/>
        </w:rPr>
        <w:t>截至2021年9月30日，</w:t>
      </w:r>
      <w:r>
        <w:rPr>
          <w:rFonts w:hint="eastAsia"/>
        </w:rPr>
        <w:t>宁武县凤凰小学建设项目</w:t>
      </w:r>
      <w:r>
        <w:rPr>
          <w:rFonts w:hint="eastAsia"/>
          <w:lang w:val="en-US" w:eastAsia="zh-CN"/>
        </w:rPr>
        <w:t>支出663.75万元，结余2,336.25万元，预算执行率为22.13%。其中300万元用于工程预付款，300万元支付工程进度款，63.75万元支付工程设计费。</w:t>
      </w:r>
    </w:p>
    <w:p>
      <w:pPr>
        <w:pStyle w:val="5"/>
        <w:ind w:firstLine="560"/>
      </w:pPr>
      <w:bookmarkStart w:id="28" w:name="_Toc1749"/>
      <w:bookmarkStart w:id="29" w:name="_Toc4763"/>
      <w:r>
        <w:rPr>
          <w:rFonts w:hint="eastAsia"/>
        </w:rPr>
        <w:t>（</w:t>
      </w:r>
      <w:r>
        <w:rPr>
          <w:rFonts w:hint="eastAsia"/>
          <w:lang w:val="en-US" w:eastAsia="zh-CN"/>
        </w:rPr>
        <w:t>三</w:t>
      </w:r>
      <w:r>
        <w:rPr>
          <w:rFonts w:hint="eastAsia"/>
        </w:rPr>
        <w:t>）项目绩效目标</w:t>
      </w:r>
      <w:bookmarkEnd w:id="28"/>
      <w:bookmarkEnd w:id="29"/>
    </w:p>
    <w:p>
      <w:pPr>
        <w:pStyle w:val="6"/>
        <w:ind w:firstLine="562"/>
        <w:rPr>
          <w:rFonts w:hint="default" w:eastAsia="仿宋_GB2312"/>
          <w:highlight w:val="none"/>
          <w:lang w:val="en-US" w:eastAsia="zh-CN"/>
        </w:rPr>
      </w:pPr>
      <w:bookmarkStart w:id="30" w:name="_Toc62460013"/>
      <w:bookmarkStart w:id="31" w:name="_Toc72769087"/>
      <w:bookmarkStart w:id="32" w:name="_Toc62656264"/>
      <w:bookmarkStart w:id="33" w:name="_Toc62460242"/>
      <w:bookmarkStart w:id="34" w:name="_Toc62228849"/>
      <w:bookmarkStart w:id="35" w:name="_Toc72708108"/>
      <w:r>
        <w:rPr>
          <w:rFonts w:hint="eastAsia"/>
          <w:highlight w:val="none"/>
        </w:rPr>
        <w:t>1.</w:t>
      </w:r>
      <w:bookmarkEnd w:id="30"/>
      <w:bookmarkEnd w:id="31"/>
      <w:bookmarkEnd w:id="32"/>
      <w:bookmarkEnd w:id="33"/>
      <w:bookmarkEnd w:id="34"/>
      <w:bookmarkEnd w:id="35"/>
      <w:r>
        <w:rPr>
          <w:rFonts w:hint="eastAsia"/>
          <w:highlight w:val="none"/>
          <w:lang w:val="en-US" w:eastAsia="zh-CN"/>
        </w:rPr>
        <w:t>总体目标</w:t>
      </w:r>
    </w:p>
    <w:p>
      <w:pPr>
        <w:rPr>
          <w:rFonts w:hint="default" w:eastAsia="仿宋_GB2312"/>
          <w:lang w:val="en-US" w:eastAsia="zh-CN"/>
        </w:rPr>
      </w:pPr>
      <w:r>
        <w:rPr>
          <w:rFonts w:hint="eastAsia"/>
        </w:rPr>
        <w:t>宁武县凤凰小学建设项目</w:t>
      </w:r>
      <w:r>
        <w:rPr>
          <w:rFonts w:hint="eastAsia"/>
          <w:lang w:val="en-US" w:eastAsia="zh-CN"/>
        </w:rPr>
        <w:t>实施后，有利于提升宁武县基础义务教育的办学条件，有助于改善受教育学生的学习环境，推动了义务发展教育均衡发展的达标率，落实教育政策，助力宁武教育事业发展。</w:t>
      </w:r>
    </w:p>
    <w:p>
      <w:pPr>
        <w:pStyle w:val="6"/>
        <w:ind w:firstLine="562"/>
        <w:rPr>
          <w:rFonts w:hint="default" w:eastAsia="仿宋_GB2312"/>
          <w:highlight w:val="none"/>
          <w:lang w:val="en-US" w:eastAsia="zh-CN"/>
        </w:rPr>
      </w:pPr>
      <w:r>
        <w:rPr>
          <w:rFonts w:hint="eastAsia"/>
          <w:highlight w:val="none"/>
        </w:rPr>
        <w:t>2.</w:t>
      </w:r>
      <w:r>
        <w:rPr>
          <w:rFonts w:hint="eastAsia"/>
          <w:highlight w:val="none"/>
          <w:lang w:val="en-US" w:eastAsia="zh-CN"/>
        </w:rPr>
        <w:t>具体目标</w:t>
      </w:r>
    </w:p>
    <w:p>
      <w:pPr>
        <w:bidi w:val="0"/>
        <w:rPr>
          <w:rFonts w:hint="eastAsia"/>
          <w:lang w:val="en-US" w:eastAsia="zh-CN"/>
        </w:rPr>
      </w:pPr>
      <w:r>
        <w:rPr>
          <w:rFonts w:hint="eastAsia"/>
          <w:lang w:val="zh-CN"/>
        </w:rPr>
        <w:t>由于</w:t>
      </w:r>
      <w:r>
        <w:rPr>
          <w:rFonts w:hint="eastAsia"/>
        </w:rPr>
        <w:t>宁武县凤凰小学建设项目</w:t>
      </w:r>
      <w:r>
        <w:rPr>
          <w:rFonts w:hint="eastAsia"/>
          <w:lang w:val="en-US" w:eastAsia="zh-CN"/>
        </w:rPr>
        <w:t>主要是为了增加招生学校，增强学生学习条件。</w:t>
      </w:r>
      <w:r>
        <w:rPr>
          <w:rFonts w:hint="eastAsia"/>
          <w:lang w:val="zh-CN"/>
        </w:rPr>
        <w:t>评价组根据</w:t>
      </w:r>
      <w:r>
        <w:rPr>
          <w:rFonts w:hint="eastAsia"/>
          <w:lang w:val="en-US" w:eastAsia="zh-CN"/>
        </w:rPr>
        <w:t>项目施工资料</w:t>
      </w:r>
      <w:r>
        <w:rPr>
          <w:rFonts w:hint="eastAsia"/>
          <w:lang w:val="zh-CN"/>
        </w:rPr>
        <w:t>，</w:t>
      </w:r>
      <w:r>
        <w:rPr>
          <w:rFonts w:hint="eastAsia"/>
          <w:lang w:val="en-US" w:eastAsia="zh-CN"/>
        </w:rPr>
        <w:t>对</w:t>
      </w:r>
      <w:r>
        <w:rPr>
          <w:rFonts w:hint="eastAsia"/>
          <w:lang w:val="zh-CN"/>
        </w:rPr>
        <w:t>项目</w:t>
      </w:r>
      <w:r>
        <w:rPr>
          <w:rFonts w:hint="eastAsia"/>
          <w:lang w:val="en-US" w:eastAsia="zh-CN"/>
        </w:rPr>
        <w:t>进行了</w:t>
      </w:r>
      <w:r>
        <w:rPr>
          <w:rFonts w:hint="eastAsia"/>
          <w:lang w:val="zh-CN"/>
        </w:rPr>
        <w:t>梳理，</w:t>
      </w:r>
      <w:r>
        <w:rPr>
          <w:rFonts w:hint="eastAsia"/>
          <w:lang w:val="en-US" w:eastAsia="zh-CN"/>
        </w:rPr>
        <w:t>项目具体</w:t>
      </w:r>
      <w:r>
        <w:rPr>
          <w:rFonts w:hint="eastAsia"/>
          <w:lang w:val="zh-CN"/>
        </w:rPr>
        <w:t>目标</w:t>
      </w:r>
      <w:r>
        <w:rPr>
          <w:rFonts w:hint="eastAsia"/>
          <w:lang w:val="en-US" w:eastAsia="zh-CN"/>
        </w:rPr>
        <w:t>情况</w:t>
      </w:r>
      <w:r>
        <w:rPr>
          <w:rFonts w:hint="eastAsia"/>
          <w:lang w:val="zh-CN"/>
        </w:rPr>
        <w:t>梳理</w:t>
      </w:r>
      <w:r>
        <w:rPr>
          <w:rFonts w:hint="eastAsia"/>
          <w:lang w:val="en-US" w:eastAsia="zh-CN"/>
        </w:rPr>
        <w:t>见表1-1。</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3"/>
        <w:rPr>
          <w:rFonts w:hint="eastAsia" w:ascii="宋体" w:eastAsia="宋体" w:hAnsiTheme="majorHAnsi" w:cstheme="majorBidi"/>
          <w:bCs/>
          <w:szCs w:val="28"/>
          <w:lang w:val="en-US" w:eastAsia="zh-CN"/>
        </w:rPr>
      </w:pPr>
      <w:r>
        <w:rPr>
          <w:rFonts w:hint="eastAsia" w:ascii="宋体" w:eastAsia="宋体" w:hAnsiTheme="majorHAnsi" w:cstheme="majorBidi"/>
          <w:bCs/>
          <w:szCs w:val="28"/>
          <w:lang w:val="en-US" w:eastAsia="zh-CN"/>
        </w:rPr>
        <w:t>表1-1 项目具体目标</w:t>
      </w:r>
    </w:p>
    <w:tbl>
      <w:tblPr>
        <w:tblStyle w:val="13"/>
        <w:tblW w:w="4996" w:type="pct"/>
        <w:tblInd w:w="0" w:type="dxa"/>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3053"/>
        <w:gridCol w:w="3053"/>
        <w:gridCol w:w="3061"/>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blHeader/>
        </w:trPr>
        <w:tc>
          <w:tcPr>
            <w:tcW w:w="1665" w:type="pct"/>
            <w:tcBorders>
              <w:tl2br w:val="nil"/>
              <w:tr2bl w:val="nil"/>
            </w:tcBorders>
            <w:shd w:val="clear" w:color="auto" w:fill="BEBEBE" w:themeFill="background1" w:themeFillShade="BF"/>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目标类型</w:t>
            </w:r>
          </w:p>
        </w:tc>
        <w:tc>
          <w:tcPr>
            <w:tcW w:w="1665" w:type="pct"/>
            <w:tcBorders>
              <w:tl2br w:val="nil"/>
              <w:tr2bl w:val="nil"/>
            </w:tcBorders>
            <w:shd w:val="clear" w:color="auto" w:fill="BEBEBE" w:themeFill="background1" w:themeFillShade="BF"/>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目标名称</w:t>
            </w:r>
          </w:p>
        </w:tc>
        <w:tc>
          <w:tcPr>
            <w:tcW w:w="1669" w:type="pct"/>
            <w:tcBorders>
              <w:tl2br w:val="nil"/>
              <w:tr2bl w:val="nil"/>
            </w:tcBorders>
            <w:shd w:val="clear" w:color="auto" w:fill="BEBEBE" w:themeFill="background1" w:themeFillShade="BF"/>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目标值</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1665"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产出指标</w:t>
            </w:r>
          </w:p>
        </w:tc>
        <w:tc>
          <w:tcPr>
            <w:tcW w:w="166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综合教学楼完成率</w:t>
            </w:r>
          </w:p>
        </w:tc>
        <w:tc>
          <w:tcPr>
            <w:tcW w:w="166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一栋主体四层教学楼修建完成</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1665"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4"/>
                <w:szCs w:val="24"/>
                <w:lang w:val="en-US" w:eastAsia="zh-CN"/>
              </w:rPr>
            </w:pPr>
          </w:p>
        </w:tc>
        <w:tc>
          <w:tcPr>
            <w:tcW w:w="166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配套工程完成率</w:t>
            </w:r>
          </w:p>
        </w:tc>
        <w:tc>
          <w:tcPr>
            <w:tcW w:w="166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400米跑道、6000㎡绿化修建完成</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1665"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4"/>
                <w:szCs w:val="24"/>
                <w:lang w:val="en-US" w:eastAsia="zh-CN"/>
              </w:rPr>
            </w:pPr>
          </w:p>
        </w:tc>
        <w:tc>
          <w:tcPr>
            <w:tcW w:w="166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月报报送质量</w:t>
            </w:r>
          </w:p>
        </w:tc>
        <w:tc>
          <w:tcPr>
            <w:tcW w:w="166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每月进行报送</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1665"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4"/>
                <w:szCs w:val="24"/>
                <w:lang w:val="en-US" w:eastAsia="zh-CN"/>
              </w:rPr>
            </w:pPr>
          </w:p>
        </w:tc>
        <w:tc>
          <w:tcPr>
            <w:tcW w:w="166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验收合格率</w:t>
            </w:r>
          </w:p>
        </w:tc>
        <w:tc>
          <w:tcPr>
            <w:tcW w:w="166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合格</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1665"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4"/>
                <w:szCs w:val="24"/>
                <w:lang w:val="en-US" w:eastAsia="zh-CN"/>
              </w:rPr>
            </w:pPr>
          </w:p>
        </w:tc>
        <w:tc>
          <w:tcPr>
            <w:tcW w:w="166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项目完成及时率</w:t>
            </w:r>
          </w:p>
        </w:tc>
        <w:tc>
          <w:tcPr>
            <w:tcW w:w="166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24个月</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1665"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效益指标</w:t>
            </w:r>
          </w:p>
        </w:tc>
        <w:tc>
          <w:tcPr>
            <w:tcW w:w="166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改善受教育环境</w:t>
            </w:r>
          </w:p>
        </w:tc>
        <w:tc>
          <w:tcPr>
            <w:tcW w:w="166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招生人数达到1080人</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1665"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4"/>
                <w:szCs w:val="24"/>
                <w:lang w:val="en-US" w:eastAsia="zh-CN"/>
              </w:rPr>
            </w:pPr>
          </w:p>
        </w:tc>
        <w:tc>
          <w:tcPr>
            <w:tcW w:w="166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推进义务教育均衡发展</w:t>
            </w:r>
          </w:p>
        </w:tc>
        <w:tc>
          <w:tcPr>
            <w:tcW w:w="166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推进</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1665"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4"/>
                <w:szCs w:val="24"/>
                <w:lang w:val="en-US" w:eastAsia="zh-CN"/>
              </w:rPr>
            </w:pPr>
          </w:p>
        </w:tc>
        <w:tc>
          <w:tcPr>
            <w:tcW w:w="166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教育政策落实情况</w:t>
            </w:r>
          </w:p>
        </w:tc>
        <w:tc>
          <w:tcPr>
            <w:tcW w:w="166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政策落实</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1665"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4"/>
                <w:szCs w:val="24"/>
                <w:lang w:val="en-US" w:eastAsia="zh-CN"/>
              </w:rPr>
            </w:pPr>
          </w:p>
        </w:tc>
        <w:tc>
          <w:tcPr>
            <w:tcW w:w="166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缓解入学压力</w:t>
            </w:r>
          </w:p>
        </w:tc>
        <w:tc>
          <w:tcPr>
            <w:tcW w:w="166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缓解</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1665"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4"/>
                <w:szCs w:val="24"/>
                <w:lang w:val="en-US" w:eastAsia="zh-CN"/>
              </w:rPr>
            </w:pPr>
          </w:p>
        </w:tc>
        <w:tc>
          <w:tcPr>
            <w:tcW w:w="166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受益区域家长满意度</w:t>
            </w:r>
          </w:p>
        </w:tc>
        <w:tc>
          <w:tcPr>
            <w:tcW w:w="166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≥90%</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1665"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4"/>
                <w:szCs w:val="24"/>
                <w:lang w:val="en-US" w:eastAsia="zh-CN"/>
              </w:rPr>
            </w:pPr>
          </w:p>
        </w:tc>
        <w:tc>
          <w:tcPr>
            <w:tcW w:w="166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受益区域学生满意度</w:t>
            </w:r>
          </w:p>
        </w:tc>
        <w:tc>
          <w:tcPr>
            <w:tcW w:w="166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≥90%</w:t>
            </w:r>
          </w:p>
        </w:tc>
      </w:tr>
    </w:tbl>
    <w:p>
      <w:pPr>
        <w:pStyle w:val="4"/>
        <w:keepNext/>
        <w:keepLines/>
        <w:pageBreakBefore w:val="0"/>
        <w:widowControl w:val="0"/>
        <w:kinsoku/>
        <w:wordWrap/>
        <w:overflowPunct/>
        <w:topLinePunct w:val="0"/>
        <w:autoSpaceDE/>
        <w:autoSpaceDN/>
        <w:bidi w:val="0"/>
        <w:adjustRightInd/>
        <w:snapToGrid/>
        <w:spacing w:before="157" w:beforeLines="50"/>
        <w:ind w:firstLine="560"/>
        <w:textAlignment w:val="auto"/>
      </w:pPr>
      <w:bookmarkStart w:id="36" w:name="_Toc8661"/>
      <w:bookmarkStart w:id="37" w:name="_Toc4068"/>
      <w:bookmarkStart w:id="38" w:name="_Toc28910"/>
      <w:bookmarkStart w:id="39" w:name="_Toc12281"/>
      <w:bookmarkStart w:id="40" w:name="_Toc72769089"/>
      <w:r>
        <w:rPr>
          <w:rFonts w:hint="eastAsia"/>
        </w:rPr>
        <w:t>二、绩效评价工作情况</w:t>
      </w:r>
      <w:bookmarkEnd w:id="36"/>
      <w:bookmarkEnd w:id="37"/>
      <w:bookmarkEnd w:id="38"/>
      <w:bookmarkEnd w:id="39"/>
      <w:bookmarkEnd w:id="40"/>
    </w:p>
    <w:p>
      <w:pPr>
        <w:pStyle w:val="5"/>
        <w:bidi w:val="0"/>
      </w:pPr>
      <w:bookmarkStart w:id="41" w:name="_Toc15441"/>
      <w:bookmarkStart w:id="42" w:name="_Toc15920"/>
      <w:bookmarkStart w:id="43" w:name="_Toc32140"/>
      <w:bookmarkStart w:id="44" w:name="_Toc72769091"/>
      <w:bookmarkStart w:id="45" w:name="_Toc28545"/>
      <w:bookmarkStart w:id="46" w:name="_Toc72769090"/>
      <w:bookmarkStart w:id="47" w:name="_Toc6075"/>
      <w:bookmarkStart w:id="48" w:name="_Toc27553"/>
      <w:bookmarkStart w:id="49" w:name="_Toc13836"/>
      <w:r>
        <w:rPr>
          <w:rFonts w:hint="eastAsia"/>
        </w:rPr>
        <w:t>（</w:t>
      </w:r>
      <w:r>
        <w:rPr>
          <w:rFonts w:hint="eastAsia"/>
          <w:lang w:val="en-US" w:eastAsia="zh-CN"/>
        </w:rPr>
        <w:t>一</w:t>
      </w:r>
      <w:r>
        <w:rPr>
          <w:rFonts w:hint="eastAsia"/>
        </w:rPr>
        <w:t>）绩效评价目的</w:t>
      </w:r>
      <w:bookmarkEnd w:id="41"/>
      <w:bookmarkEnd w:id="42"/>
      <w:bookmarkEnd w:id="43"/>
      <w:bookmarkEnd w:id="44"/>
      <w:bookmarkEnd w:id="45"/>
    </w:p>
    <w:p>
      <w:pPr>
        <w:bidi w:val="0"/>
      </w:pPr>
      <w:r>
        <w:t>通过对</w:t>
      </w:r>
      <w:r>
        <w:rPr>
          <w:rFonts w:hint="eastAsia"/>
        </w:rPr>
        <w:t>宁武县凤凰小学建设项目</w:t>
      </w:r>
      <w:r>
        <w:t>资金进行绩效评价，了解项目的立项情况和执行情况，分析项目的绩效目标实现情况和项目的社会</w:t>
      </w:r>
      <w:r>
        <w:rPr>
          <w:rFonts w:hint="eastAsia"/>
          <w:lang w:eastAsia="zh-CN"/>
        </w:rPr>
        <w:t>、</w:t>
      </w:r>
      <w:r>
        <w:t>经济</w:t>
      </w:r>
      <w:r>
        <w:rPr>
          <w:rFonts w:hint="eastAsia"/>
          <w:lang w:val="en-US" w:eastAsia="zh-CN"/>
        </w:rPr>
        <w:t>和生态</w:t>
      </w:r>
      <w:r>
        <w:t>效益、可持续影响等情况，及时发现问题，分析原因，提出建议，为加强财政资金管理，规范财政支出行为，提高财政资金的使用效益和项目管理水平，更合理的安排以后年度的项目资金支出提供参考依据。</w:t>
      </w:r>
    </w:p>
    <w:p>
      <w:pPr>
        <w:pStyle w:val="5"/>
        <w:bidi w:val="0"/>
      </w:pPr>
      <w:bookmarkStart w:id="50" w:name="_Toc19950"/>
      <w:r>
        <w:rPr>
          <w:rFonts w:hint="eastAsia"/>
        </w:rPr>
        <w:t>（</w:t>
      </w:r>
      <w:r>
        <w:rPr>
          <w:rFonts w:hint="eastAsia"/>
          <w:lang w:val="en-US" w:eastAsia="zh-CN"/>
        </w:rPr>
        <w:t>二</w:t>
      </w:r>
      <w:r>
        <w:rPr>
          <w:rFonts w:hint="eastAsia"/>
        </w:rPr>
        <w:t>）评价对象</w:t>
      </w:r>
      <w:r>
        <w:rPr>
          <w:rFonts w:hint="eastAsia"/>
          <w:lang w:val="en-US" w:eastAsia="zh-CN"/>
        </w:rPr>
        <w:t>和</w:t>
      </w:r>
      <w:r>
        <w:rPr>
          <w:rFonts w:hint="eastAsia"/>
        </w:rPr>
        <w:t>范围</w:t>
      </w:r>
      <w:bookmarkEnd w:id="46"/>
      <w:bookmarkEnd w:id="47"/>
      <w:bookmarkEnd w:id="48"/>
      <w:bookmarkEnd w:id="49"/>
      <w:bookmarkEnd w:id="50"/>
    </w:p>
    <w:p>
      <w:pPr>
        <w:ind w:firstLine="560"/>
      </w:pPr>
      <w:r>
        <w:rPr>
          <w:rFonts w:hint="eastAsia"/>
        </w:rPr>
        <w:t>本次绩效评价的对象是宁武县凤凰小学建设项目资金</w:t>
      </w:r>
      <w:r>
        <w:rPr>
          <w:rFonts w:hint="eastAsia" w:cs="仿宋_GB2312"/>
          <w:szCs w:val="28"/>
          <w:lang w:val="en-US" w:eastAsia="zh-CN"/>
        </w:rPr>
        <w:t>663.75万元</w:t>
      </w:r>
      <w:r>
        <w:rPr>
          <w:rFonts w:hint="eastAsia"/>
        </w:rPr>
        <w:t>。</w:t>
      </w:r>
    </w:p>
    <w:p>
      <w:pPr>
        <w:ind w:firstLine="560"/>
        <w:rPr>
          <w:rFonts w:hint="eastAsia"/>
        </w:rPr>
      </w:pPr>
      <w:r>
        <w:rPr>
          <w:rFonts w:hint="eastAsia"/>
        </w:rPr>
        <w:t>绩效评价的范围是宁武县凤凰小学建设项目资金产生的绩效以及为产生绩效所经历的各环节过程，具体绩效评价范围包括项目决策、过程、产出、效益。</w:t>
      </w:r>
    </w:p>
    <w:p>
      <w:pPr>
        <w:pStyle w:val="5"/>
        <w:bidi w:val="0"/>
      </w:pPr>
      <w:bookmarkStart w:id="51" w:name="_Toc3339"/>
      <w:r>
        <w:rPr>
          <w:rFonts w:hint="eastAsia"/>
          <w:lang w:eastAsia="zh-CN"/>
        </w:rPr>
        <w:t>（</w:t>
      </w:r>
      <w:r>
        <w:rPr>
          <w:rFonts w:hint="eastAsia"/>
          <w:lang w:val="en-US" w:eastAsia="zh-CN"/>
        </w:rPr>
        <w:t>三</w:t>
      </w:r>
      <w:r>
        <w:rPr>
          <w:rFonts w:hint="eastAsia"/>
          <w:lang w:eastAsia="zh-CN"/>
        </w:rPr>
        <w:t>）</w:t>
      </w:r>
      <w:r>
        <w:rPr>
          <w:rFonts w:hint="eastAsia"/>
        </w:rPr>
        <w:t>评价基准日</w:t>
      </w:r>
      <w:bookmarkEnd w:id="51"/>
    </w:p>
    <w:p>
      <w:pPr>
        <w:ind w:firstLine="560"/>
      </w:pPr>
      <w:r>
        <w:rPr>
          <w:rFonts w:hint="eastAsia"/>
        </w:rPr>
        <w:t>评价基准日是2021年</w:t>
      </w:r>
      <w:r>
        <w:rPr>
          <w:rFonts w:hint="eastAsia"/>
          <w:lang w:val="en-US" w:eastAsia="zh-CN"/>
        </w:rPr>
        <w:t>9</w:t>
      </w:r>
      <w:r>
        <w:rPr>
          <w:rFonts w:hint="eastAsia"/>
        </w:rPr>
        <w:t>月</w:t>
      </w:r>
      <w:r>
        <w:rPr>
          <w:rFonts w:hint="eastAsia"/>
          <w:lang w:val="en-US" w:eastAsia="zh-CN"/>
        </w:rPr>
        <w:t>3</w:t>
      </w:r>
      <w:r>
        <w:rPr>
          <w:rFonts w:hint="eastAsia"/>
        </w:rPr>
        <w:t>0日。</w:t>
      </w:r>
    </w:p>
    <w:p>
      <w:pPr>
        <w:pStyle w:val="5"/>
        <w:ind w:firstLine="560"/>
        <w:rPr>
          <w:rFonts w:hint="eastAsia"/>
        </w:rPr>
      </w:pPr>
      <w:bookmarkStart w:id="52" w:name="_Toc18810"/>
      <w:bookmarkStart w:id="53" w:name="_Toc30818"/>
      <w:bookmarkStart w:id="54" w:name="_Toc13175"/>
      <w:bookmarkStart w:id="55" w:name="_Toc72769097"/>
      <w:bookmarkStart w:id="56" w:name="_Toc4962"/>
      <w:r>
        <w:rPr>
          <w:rFonts w:hint="eastAsia"/>
        </w:rPr>
        <w:t>（</w:t>
      </w:r>
      <w:r>
        <w:rPr>
          <w:rFonts w:hint="eastAsia"/>
          <w:lang w:val="en-US" w:eastAsia="zh-CN"/>
        </w:rPr>
        <w:t>四</w:t>
      </w:r>
      <w:r>
        <w:rPr>
          <w:rFonts w:hint="eastAsia"/>
        </w:rPr>
        <w:t>）绩效评价指标体系</w:t>
      </w:r>
      <w:bookmarkEnd w:id="52"/>
      <w:bookmarkEnd w:id="53"/>
      <w:bookmarkEnd w:id="54"/>
      <w:bookmarkEnd w:id="55"/>
      <w:bookmarkEnd w:id="56"/>
    </w:p>
    <w:p>
      <w:pPr>
        <w:pStyle w:val="6"/>
        <w:bidi w:val="0"/>
        <w:rPr>
          <w:rFonts w:hint="eastAsia"/>
          <w:lang w:val="en-US" w:eastAsia="zh-CN"/>
        </w:rPr>
      </w:pPr>
      <w:r>
        <w:rPr>
          <w:rFonts w:hint="eastAsia"/>
          <w:lang w:val="en-US" w:eastAsia="zh-CN"/>
        </w:rPr>
        <w:t>1.指标体系设计思路</w:t>
      </w:r>
    </w:p>
    <w:p>
      <w:pPr>
        <w:bidi w:val="0"/>
        <w:rPr>
          <w:rFonts w:hint="eastAsia"/>
          <w:lang w:val="en-US" w:eastAsia="zh-CN"/>
        </w:rPr>
      </w:pPr>
      <w:r>
        <w:rPr>
          <w:rFonts w:hint="eastAsia"/>
          <w:lang w:val="en-US" w:eastAsia="zh-CN"/>
        </w:rPr>
        <w:t>按照财政部《项目支出绩效评价管理办法》（财预〔2020〕10号）中的项目支出绩效评价指标体系框架（参考）、山西省《省级项目支出绩效评价管理办法》（晋财绩〔2020〕17号）中的项目支出绩效评价指标体系框架（参考），遵循“突出项目资金、兼顾政策内容”的评价思路，结合宁武县教育条件的实际情况，本着全面反映宁武县凤凰小学建设项目的预算绩效管理情况，本着尽可能细化、量化、可操作的原则，结合计划标准、历史标准等制定指标的目标值，兼顾相关政策内容，设计形成了宁武县凤凰小学建设项目绩效评价指标体系，从决策类（包括项目立项、绩效目标、资金投入）、过程类（包括资金管理、组织实施）、产出类（包括产出数量、产出质量、产出时效）、效益类（包括社会效益、</w:t>
      </w:r>
      <w:r>
        <w:rPr>
          <w:rFonts w:hint="eastAsia"/>
        </w:rPr>
        <w:t>可持续影响及满意度</w:t>
      </w:r>
      <w:r>
        <w:rPr>
          <w:rFonts w:hint="eastAsia"/>
          <w:lang w:val="en-US" w:eastAsia="zh-CN"/>
        </w:rPr>
        <w:t>）四个维度进行评价。</w:t>
      </w:r>
    </w:p>
    <w:p>
      <w:pPr>
        <w:pStyle w:val="6"/>
        <w:bidi w:val="0"/>
        <w:rPr>
          <w:rFonts w:hint="eastAsia"/>
          <w:lang w:val="zh-CN" w:eastAsia="zh-CN"/>
        </w:rPr>
      </w:pPr>
      <w:r>
        <w:rPr>
          <w:rFonts w:hint="eastAsia"/>
          <w:lang w:val="en-US" w:eastAsia="zh-CN"/>
        </w:rPr>
        <w:t>2</w:t>
      </w:r>
      <w:r>
        <w:rPr>
          <w:rFonts w:hint="eastAsia"/>
          <w:lang w:val="zh-CN" w:eastAsia="zh-CN"/>
        </w:rPr>
        <w:t>.权重设计思路</w:t>
      </w:r>
    </w:p>
    <w:p>
      <w:pPr>
        <w:bidi w:val="0"/>
        <w:rPr>
          <w:rFonts w:hint="eastAsia"/>
          <w:lang w:val="en-US" w:eastAsia="zh-CN"/>
        </w:rPr>
      </w:pPr>
      <w:r>
        <w:rPr>
          <w:rFonts w:hint="eastAsia"/>
          <w:lang w:val="zh-CN" w:eastAsia="zh-CN"/>
        </w:rPr>
        <w:t>本次</w:t>
      </w:r>
      <w:r>
        <w:rPr>
          <w:rFonts w:hint="eastAsia"/>
          <w:lang w:val="en-US" w:eastAsia="zh-CN"/>
        </w:rPr>
        <w:t>绩效评价指标</w:t>
      </w:r>
      <w:r>
        <w:rPr>
          <w:rFonts w:hint="eastAsia"/>
          <w:lang w:val="zh-CN" w:eastAsia="zh-CN"/>
        </w:rPr>
        <w:t>权重设计</w:t>
      </w:r>
      <w:r>
        <w:rPr>
          <w:rFonts w:hint="eastAsia"/>
          <w:lang w:val="en-US" w:eastAsia="zh-CN"/>
        </w:rPr>
        <w:t>一级指标</w:t>
      </w:r>
      <w:r>
        <w:rPr>
          <w:rFonts w:hint="eastAsia"/>
          <w:lang w:val="zh-CN" w:eastAsia="zh-CN"/>
        </w:rPr>
        <w:t>权重设计</w:t>
      </w:r>
      <w:r>
        <w:rPr>
          <w:rFonts w:hint="eastAsia"/>
          <w:lang w:val="en-US" w:eastAsia="zh-CN"/>
        </w:rPr>
        <w:t>按照《项目支出绩效评价管理办法》（财预〔2020〕10号）中的项目支出绩效评价指标体系框架（参考）、山西省《省级项目支出绩效评价管理办法》（晋财绩〔2020〕17号）文件要求执行</w:t>
      </w:r>
      <w:r>
        <w:rPr>
          <w:rFonts w:hint="eastAsia"/>
          <w:lang w:val="zh-CN" w:eastAsia="zh-CN"/>
        </w:rPr>
        <w:t>，最终确定</w:t>
      </w:r>
      <w:r>
        <w:rPr>
          <w:rFonts w:hint="eastAsia"/>
          <w:lang w:val="en-US" w:eastAsia="zh-CN"/>
        </w:rPr>
        <w:t>决策</w:t>
      </w:r>
      <w:r>
        <w:rPr>
          <w:rFonts w:hint="eastAsia"/>
          <w:lang w:val="zh-CN" w:eastAsia="zh-CN"/>
        </w:rPr>
        <w:t>类指标权重占比</w:t>
      </w:r>
      <w:r>
        <w:rPr>
          <w:rFonts w:hint="eastAsia"/>
          <w:lang w:val="en-US" w:eastAsia="zh-CN"/>
        </w:rPr>
        <w:t>2</w:t>
      </w:r>
      <w:r>
        <w:rPr>
          <w:rFonts w:hint="eastAsia"/>
          <w:lang w:val="zh-CN" w:eastAsia="zh-CN"/>
        </w:rPr>
        <w:t>0%，过程类指标权重占比</w:t>
      </w:r>
      <w:r>
        <w:rPr>
          <w:rFonts w:hint="eastAsia"/>
          <w:lang w:val="en-US" w:eastAsia="zh-CN"/>
        </w:rPr>
        <w:t>2</w:t>
      </w:r>
      <w:r>
        <w:rPr>
          <w:rFonts w:hint="eastAsia"/>
          <w:lang w:val="zh-CN" w:eastAsia="zh-CN"/>
        </w:rPr>
        <w:t>0%，产出类指标权重占比</w:t>
      </w:r>
      <w:r>
        <w:rPr>
          <w:rFonts w:hint="eastAsia"/>
          <w:lang w:val="en-US" w:eastAsia="zh-CN"/>
        </w:rPr>
        <w:t>3</w:t>
      </w:r>
      <w:r>
        <w:rPr>
          <w:rFonts w:hint="eastAsia"/>
          <w:lang w:val="zh-CN" w:eastAsia="zh-CN"/>
        </w:rPr>
        <w:t>0%，效益类指标权重占比</w:t>
      </w:r>
      <w:r>
        <w:rPr>
          <w:rFonts w:hint="eastAsia"/>
          <w:lang w:val="en-US" w:eastAsia="zh-CN"/>
        </w:rPr>
        <w:t>3</w:t>
      </w:r>
      <w:r>
        <w:rPr>
          <w:rFonts w:hint="eastAsia"/>
          <w:lang w:val="zh-CN" w:eastAsia="zh-CN"/>
        </w:rPr>
        <w:t>0%。二、三级指标</w:t>
      </w:r>
      <w:r>
        <w:rPr>
          <w:rFonts w:hint="eastAsia"/>
          <w:lang w:val="en-US" w:eastAsia="zh-CN"/>
        </w:rPr>
        <w:t>权重分值</w:t>
      </w:r>
      <w:r>
        <w:rPr>
          <w:rFonts w:hint="eastAsia"/>
          <w:lang w:val="zh-CN" w:eastAsia="zh-CN"/>
        </w:rPr>
        <w:t>采用经验分配法，根据以往财政资金绩效评价指标体系权重的工作经验，对评价指标所代表的价值进行判断同时，根据二、三级指标与绩效目标的匹配性、在指标中的重要性、以及对一级指标的影响程度来合理确定评价指标的权重比例结构。</w:t>
      </w:r>
    </w:p>
    <w:p>
      <w:pPr>
        <w:pStyle w:val="6"/>
        <w:bidi w:val="0"/>
        <w:rPr>
          <w:rFonts w:hint="eastAsia"/>
          <w:lang w:val="en-US" w:eastAsia="zh-CN"/>
        </w:rPr>
      </w:pPr>
      <w:r>
        <w:rPr>
          <w:rFonts w:hint="eastAsia"/>
          <w:lang w:val="en-US" w:eastAsia="zh-CN"/>
        </w:rPr>
        <w:t>3.指标体系具体内容</w:t>
      </w:r>
    </w:p>
    <w:p>
      <w:pPr>
        <w:bidi w:val="0"/>
        <w:rPr>
          <w:rFonts w:hint="eastAsia"/>
          <w:lang w:val="en-US" w:eastAsia="zh-CN"/>
        </w:rPr>
      </w:pPr>
      <w:r>
        <w:t>指标体系由</w:t>
      </w:r>
      <w:r>
        <w:rPr>
          <w:rFonts w:hint="eastAsia"/>
        </w:rPr>
        <w:t>4</w:t>
      </w:r>
      <w:r>
        <w:t>项一级指标、</w:t>
      </w:r>
      <w:r>
        <w:rPr>
          <w:rFonts w:hint="eastAsia"/>
          <w:lang w:val="en-US" w:eastAsia="zh-CN"/>
        </w:rPr>
        <w:t>13</w:t>
      </w:r>
      <w:r>
        <w:t>项二级指标、</w:t>
      </w:r>
      <w:r>
        <w:rPr>
          <w:rFonts w:hint="eastAsia"/>
          <w:lang w:val="en-US" w:eastAsia="zh-CN"/>
        </w:rPr>
        <w:t>24</w:t>
      </w:r>
      <w:r>
        <w:t>项三级指标构成。数据主要来源于政策文件、</w:t>
      </w:r>
      <w:r>
        <w:rPr>
          <w:rFonts w:hint="eastAsia"/>
        </w:rPr>
        <w:t>财经</w:t>
      </w:r>
      <w:r>
        <w:t>法规、</w:t>
      </w:r>
      <w:r>
        <w:rPr>
          <w:rFonts w:hint="eastAsia"/>
        </w:rPr>
        <w:t>单位提供相关资料</w:t>
      </w:r>
      <w:r>
        <w:t>、访谈等。</w:t>
      </w:r>
      <w:r>
        <w:rPr>
          <w:rFonts w:hint="eastAsia"/>
        </w:rPr>
        <w:t>决策</w:t>
      </w:r>
      <w:r>
        <w:rPr>
          <w:rFonts w:hint="eastAsia"/>
          <w:lang w:val="en-US" w:eastAsia="zh-CN"/>
        </w:rPr>
        <w:t>类指标</w:t>
      </w:r>
      <w:r>
        <w:rPr>
          <w:rFonts w:hint="eastAsia"/>
        </w:rPr>
        <w:t>占权重分20分，</w:t>
      </w:r>
      <w:r>
        <w:t>从</w:t>
      </w:r>
      <w:r>
        <w:rPr>
          <w:rFonts w:hint="eastAsia"/>
        </w:rPr>
        <w:t>项目立项</w:t>
      </w:r>
      <w:r>
        <w:rPr>
          <w:rFonts w:hint="eastAsia"/>
          <w:lang w:eastAsia="zh-CN"/>
        </w:rPr>
        <w:t>、</w:t>
      </w:r>
      <w:r>
        <w:rPr>
          <w:rFonts w:hint="eastAsia"/>
          <w:lang w:val="en-US" w:eastAsia="zh-CN"/>
        </w:rPr>
        <w:t>绩效目标及</w:t>
      </w:r>
      <w:r>
        <w:rPr>
          <w:rFonts w:hint="eastAsia"/>
        </w:rPr>
        <w:t>资金</w:t>
      </w:r>
      <w:r>
        <w:rPr>
          <w:rFonts w:hint="eastAsia"/>
          <w:lang w:val="en-US" w:eastAsia="zh-CN"/>
        </w:rPr>
        <w:t>投入三</w:t>
      </w:r>
      <w:r>
        <w:t>个角度考察</w:t>
      </w:r>
      <w:r>
        <w:rPr>
          <w:rFonts w:hint="eastAsia"/>
          <w:lang w:val="en-US" w:eastAsia="zh-CN"/>
        </w:rPr>
        <w:t>立项依据充分性</w:t>
      </w:r>
      <w:r>
        <w:rPr>
          <w:rFonts w:hint="eastAsia"/>
          <w:lang w:eastAsia="zh-CN"/>
        </w:rPr>
        <w:t>、</w:t>
      </w:r>
      <w:r>
        <w:rPr>
          <w:rFonts w:hint="eastAsia"/>
          <w:lang w:val="en-US" w:eastAsia="zh-CN"/>
        </w:rPr>
        <w:t>立项程序规范性</w:t>
      </w:r>
      <w:r>
        <w:rPr>
          <w:rFonts w:hint="eastAsia"/>
          <w:lang w:eastAsia="zh-CN"/>
        </w:rPr>
        <w:t>、</w:t>
      </w:r>
      <w:r>
        <w:rPr>
          <w:rFonts w:hint="eastAsia"/>
        </w:rPr>
        <w:t>绩效目标合理性</w:t>
      </w:r>
      <w:r>
        <w:rPr>
          <w:rFonts w:hint="eastAsia"/>
          <w:lang w:eastAsia="zh-CN"/>
        </w:rPr>
        <w:t>、</w:t>
      </w:r>
      <w:r>
        <w:rPr>
          <w:rFonts w:hint="eastAsia"/>
        </w:rPr>
        <w:t>绩效目标明确性</w:t>
      </w:r>
      <w:r>
        <w:rPr>
          <w:rFonts w:hint="eastAsia"/>
          <w:lang w:eastAsia="zh-CN"/>
        </w:rPr>
        <w:t>、</w:t>
      </w:r>
      <w:r>
        <w:rPr>
          <w:rFonts w:hint="eastAsia"/>
        </w:rPr>
        <w:t>预算编制科学性</w:t>
      </w:r>
      <w:r>
        <w:rPr>
          <w:rFonts w:hint="eastAsia"/>
          <w:lang w:val="en-US" w:eastAsia="zh-CN"/>
        </w:rPr>
        <w:t>及</w:t>
      </w:r>
      <w:r>
        <w:rPr>
          <w:rFonts w:hint="eastAsia"/>
        </w:rPr>
        <w:t>资金分配合理性</w:t>
      </w:r>
      <w:r>
        <w:rPr>
          <w:rFonts w:hint="eastAsia"/>
          <w:lang w:eastAsia="zh-CN"/>
        </w:rPr>
        <w:t>；</w:t>
      </w:r>
      <w:r>
        <w:rPr>
          <w:rFonts w:hint="eastAsia"/>
        </w:rPr>
        <w:t>过程</w:t>
      </w:r>
      <w:r>
        <w:rPr>
          <w:rFonts w:hint="eastAsia"/>
          <w:lang w:val="en-US" w:eastAsia="zh-CN"/>
        </w:rPr>
        <w:t>类指标</w:t>
      </w:r>
      <w:r>
        <w:rPr>
          <w:rFonts w:hint="eastAsia"/>
        </w:rPr>
        <w:t>占权重分20分，</w:t>
      </w:r>
      <w:r>
        <w:rPr>
          <w:rFonts w:hint="eastAsia"/>
          <w:lang w:val="en-US" w:eastAsia="zh-CN"/>
        </w:rPr>
        <w:t>从组织实施</w:t>
      </w:r>
      <w:r>
        <w:rPr>
          <w:rFonts w:hint="eastAsia"/>
        </w:rPr>
        <w:t>、</w:t>
      </w:r>
      <w:r>
        <w:rPr>
          <w:rFonts w:hint="eastAsia"/>
          <w:lang w:val="en-US" w:eastAsia="zh-CN"/>
        </w:rPr>
        <w:t>资金</w:t>
      </w:r>
      <w:r>
        <w:rPr>
          <w:rFonts w:hint="eastAsia"/>
        </w:rPr>
        <w:t>管理两</w:t>
      </w:r>
      <w:r>
        <w:t>个角度考察</w:t>
      </w:r>
      <w:r>
        <w:rPr>
          <w:rFonts w:hint="eastAsia"/>
        </w:rPr>
        <w:t>管理制度健全性、</w:t>
      </w:r>
      <w:r>
        <w:rPr>
          <w:rFonts w:hint="eastAsia"/>
          <w:lang w:val="en-US" w:eastAsia="zh-CN"/>
        </w:rPr>
        <w:t>制度执行有效性</w:t>
      </w:r>
      <w:r>
        <w:rPr>
          <w:rFonts w:hint="eastAsia"/>
        </w:rPr>
        <w:t>、</w:t>
      </w:r>
      <w:r>
        <w:rPr>
          <w:rFonts w:hint="eastAsia"/>
          <w:lang w:val="en-US" w:eastAsia="zh-CN"/>
        </w:rPr>
        <w:t>建设方案完备性</w:t>
      </w:r>
      <w:r>
        <w:rPr>
          <w:rFonts w:hint="eastAsia"/>
        </w:rPr>
        <w:t>、</w:t>
      </w:r>
      <w:r>
        <w:rPr>
          <w:rFonts w:hint="eastAsia"/>
          <w:lang w:val="en-US" w:eastAsia="zh-CN"/>
        </w:rPr>
        <w:t>信息公开</w:t>
      </w:r>
      <w:r>
        <w:rPr>
          <w:rFonts w:hint="eastAsia"/>
        </w:rPr>
        <w:t>和</w:t>
      </w:r>
      <w:r>
        <w:rPr>
          <w:rFonts w:hint="eastAsia"/>
          <w:lang w:val="en-US" w:eastAsia="zh-CN"/>
        </w:rPr>
        <w:t>资金到位率</w:t>
      </w:r>
      <w:r>
        <w:rPr>
          <w:rFonts w:hint="eastAsia"/>
        </w:rPr>
        <w:t>、资金使用合规性等</w:t>
      </w:r>
      <w:r>
        <w:rPr>
          <w:rFonts w:hint="eastAsia"/>
          <w:lang w:eastAsia="zh-CN"/>
        </w:rPr>
        <w:t>；</w:t>
      </w:r>
      <w:r>
        <w:rPr>
          <w:rFonts w:hint="eastAsia"/>
        </w:rPr>
        <w:t>产出</w:t>
      </w:r>
      <w:r>
        <w:rPr>
          <w:rFonts w:hint="eastAsia"/>
          <w:lang w:val="en-US" w:eastAsia="zh-CN"/>
        </w:rPr>
        <w:t>类指标</w:t>
      </w:r>
      <w:r>
        <w:rPr>
          <w:rFonts w:hint="eastAsia"/>
        </w:rPr>
        <w:t>占权重分30分，从</w:t>
      </w:r>
      <w:r>
        <w:t>资金投入使用后的</w:t>
      </w:r>
      <w:r>
        <w:rPr>
          <w:rFonts w:hint="eastAsia"/>
          <w:lang w:val="en-US" w:eastAsia="zh-CN"/>
        </w:rPr>
        <w:t>产出数量、产出质量、产出时效三</w:t>
      </w:r>
      <w:r>
        <w:rPr>
          <w:rFonts w:hint="eastAsia"/>
        </w:rPr>
        <w:t>个角度来考察项目产出情况</w:t>
      </w:r>
      <w:r>
        <w:rPr>
          <w:rFonts w:hint="eastAsia"/>
          <w:lang w:eastAsia="zh-CN"/>
        </w:rPr>
        <w:t>；</w:t>
      </w:r>
      <w:r>
        <w:rPr>
          <w:rFonts w:hint="eastAsia"/>
        </w:rPr>
        <w:t>效益</w:t>
      </w:r>
      <w:r>
        <w:rPr>
          <w:rFonts w:hint="eastAsia"/>
          <w:lang w:val="en-US" w:eastAsia="zh-CN"/>
        </w:rPr>
        <w:t>类指标</w:t>
      </w:r>
      <w:r>
        <w:rPr>
          <w:rFonts w:hint="eastAsia"/>
        </w:rPr>
        <w:t>占权重分30分，从</w:t>
      </w:r>
      <w:r>
        <w:rPr>
          <w:rFonts w:hint="eastAsia"/>
          <w:lang w:val="en-US" w:eastAsia="zh-CN"/>
        </w:rPr>
        <w:t>社会效益、</w:t>
      </w:r>
      <w:r>
        <w:rPr>
          <w:rFonts w:hint="eastAsia"/>
        </w:rPr>
        <w:t>可持续影响及满意度</w:t>
      </w:r>
      <w:r>
        <w:rPr>
          <w:rFonts w:hint="eastAsia"/>
          <w:lang w:val="en-US" w:eastAsia="zh-CN"/>
        </w:rPr>
        <w:t>三</w:t>
      </w:r>
      <w:r>
        <w:rPr>
          <w:rFonts w:hint="eastAsia"/>
        </w:rPr>
        <w:t>个方面来考察项目效益情况。</w:t>
      </w:r>
      <w:r>
        <w:rPr>
          <w:rFonts w:hint="eastAsia"/>
          <w:lang w:val="en-US" w:eastAsia="zh-CN"/>
        </w:rPr>
        <w:t>详细绩效评价指标体系见表2-1。</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3"/>
        <w:rPr>
          <w:rFonts w:hint="default" w:ascii="宋体" w:eastAsia="宋体" w:hAnsiTheme="majorHAnsi" w:cstheme="majorBidi"/>
          <w:bCs/>
          <w:szCs w:val="28"/>
          <w:lang w:val="en-US" w:eastAsia="zh-CN"/>
        </w:rPr>
      </w:pPr>
      <w:r>
        <w:rPr>
          <w:rFonts w:hint="eastAsia" w:ascii="宋体" w:eastAsia="宋体" w:hAnsiTheme="majorHAnsi" w:cstheme="majorBidi"/>
          <w:bCs/>
          <w:szCs w:val="28"/>
          <w:lang w:val="en-US" w:eastAsia="zh-CN"/>
        </w:rPr>
        <w:t>表2-1 绩效评价指标体系表</w:t>
      </w:r>
    </w:p>
    <w:tbl>
      <w:tblPr>
        <w:tblStyle w:val="12"/>
        <w:tblW w:w="4998" w:type="pct"/>
        <w:jc w:val="center"/>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Layout w:type="autofit"/>
        <w:tblCellMar>
          <w:top w:w="0" w:type="dxa"/>
          <w:left w:w="108" w:type="dxa"/>
          <w:bottom w:w="0" w:type="dxa"/>
          <w:right w:w="108" w:type="dxa"/>
        </w:tblCellMar>
      </w:tblPr>
      <w:tblGrid>
        <w:gridCol w:w="1169"/>
        <w:gridCol w:w="778"/>
        <w:gridCol w:w="1895"/>
        <w:gridCol w:w="778"/>
        <w:gridCol w:w="3282"/>
        <w:gridCol w:w="1268"/>
      </w:tblGrid>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tblHeader/>
          <w:jc w:val="center"/>
        </w:trPr>
        <w:tc>
          <w:tcPr>
            <w:tcW w:w="637" w:type="pct"/>
            <w:tcBorders>
              <w:tl2br w:val="nil"/>
              <w:tr2bl w:val="nil"/>
            </w:tcBorders>
            <w:shd w:val="clear" w:color="auto" w:fill="BEBEB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一级指标</w:t>
            </w:r>
          </w:p>
        </w:tc>
        <w:tc>
          <w:tcPr>
            <w:tcW w:w="424" w:type="pct"/>
            <w:tcBorders>
              <w:tl2br w:val="nil"/>
              <w:tr2bl w:val="nil"/>
            </w:tcBorders>
            <w:shd w:val="clear" w:color="auto" w:fill="BEBEB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分值</w:t>
            </w:r>
          </w:p>
        </w:tc>
        <w:tc>
          <w:tcPr>
            <w:tcW w:w="1033" w:type="pct"/>
            <w:tcBorders>
              <w:tl2br w:val="nil"/>
              <w:tr2bl w:val="nil"/>
            </w:tcBorders>
            <w:shd w:val="clear" w:color="auto" w:fill="BEBEB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二级指标</w:t>
            </w:r>
          </w:p>
        </w:tc>
        <w:tc>
          <w:tcPr>
            <w:tcW w:w="424" w:type="pct"/>
            <w:tcBorders>
              <w:tl2br w:val="nil"/>
              <w:tr2bl w:val="nil"/>
            </w:tcBorders>
            <w:shd w:val="clear" w:color="auto" w:fill="BEBEB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分值</w:t>
            </w:r>
          </w:p>
        </w:tc>
        <w:tc>
          <w:tcPr>
            <w:tcW w:w="1789" w:type="pct"/>
            <w:tcBorders>
              <w:tl2br w:val="nil"/>
              <w:tr2bl w:val="nil"/>
            </w:tcBorders>
            <w:shd w:val="clear" w:color="auto" w:fill="BEBEB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三级指标</w:t>
            </w:r>
          </w:p>
        </w:tc>
        <w:tc>
          <w:tcPr>
            <w:tcW w:w="691" w:type="pct"/>
            <w:tcBorders>
              <w:tl2br w:val="nil"/>
              <w:tr2bl w:val="nil"/>
            </w:tcBorders>
            <w:shd w:val="clear" w:color="auto" w:fill="BEBEB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目标值</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637"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A决策</w:t>
            </w:r>
          </w:p>
        </w:tc>
        <w:tc>
          <w:tcPr>
            <w:tcW w:w="424"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033"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A1项目立项</w:t>
            </w:r>
          </w:p>
        </w:tc>
        <w:tc>
          <w:tcPr>
            <w:tcW w:w="42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7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A101立项依据充分性</w:t>
            </w:r>
          </w:p>
        </w:tc>
        <w:tc>
          <w:tcPr>
            <w:tcW w:w="69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依据充分</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637"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bCs/>
                <w:i w:val="0"/>
                <w:iCs w:val="0"/>
                <w:color w:val="000000"/>
                <w:sz w:val="24"/>
                <w:szCs w:val="24"/>
                <w:u w:val="none"/>
              </w:rPr>
            </w:pPr>
          </w:p>
        </w:tc>
        <w:tc>
          <w:tcPr>
            <w:tcW w:w="42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1033"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42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7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A102立项程序规范性</w:t>
            </w:r>
          </w:p>
        </w:tc>
        <w:tc>
          <w:tcPr>
            <w:tcW w:w="69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程序规范</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637"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bCs/>
                <w:i w:val="0"/>
                <w:iCs w:val="0"/>
                <w:color w:val="000000"/>
                <w:sz w:val="24"/>
                <w:szCs w:val="24"/>
                <w:u w:val="none"/>
              </w:rPr>
            </w:pPr>
          </w:p>
        </w:tc>
        <w:tc>
          <w:tcPr>
            <w:tcW w:w="42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1033" w:type="pct"/>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A2绩效目标</w:t>
            </w:r>
          </w:p>
        </w:tc>
        <w:tc>
          <w:tcPr>
            <w:tcW w:w="42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7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A201绩效目标合理性</w:t>
            </w:r>
          </w:p>
        </w:tc>
        <w:tc>
          <w:tcPr>
            <w:tcW w:w="69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合理</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637"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bCs/>
                <w:i w:val="0"/>
                <w:iCs w:val="0"/>
                <w:color w:val="000000"/>
                <w:sz w:val="24"/>
                <w:szCs w:val="24"/>
                <w:u w:val="none"/>
              </w:rPr>
            </w:pPr>
          </w:p>
        </w:tc>
        <w:tc>
          <w:tcPr>
            <w:tcW w:w="42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1033"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42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7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A202绩效指标明确性</w:t>
            </w:r>
          </w:p>
        </w:tc>
        <w:tc>
          <w:tcPr>
            <w:tcW w:w="69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指标明确</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510" w:hRule="atLeast"/>
          <w:jc w:val="center"/>
        </w:trPr>
        <w:tc>
          <w:tcPr>
            <w:tcW w:w="637"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bCs/>
                <w:i w:val="0"/>
                <w:iCs w:val="0"/>
                <w:color w:val="000000"/>
                <w:sz w:val="24"/>
                <w:szCs w:val="24"/>
                <w:u w:val="none"/>
              </w:rPr>
            </w:pPr>
          </w:p>
        </w:tc>
        <w:tc>
          <w:tcPr>
            <w:tcW w:w="42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1033"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A3资金投入</w:t>
            </w:r>
          </w:p>
        </w:tc>
        <w:tc>
          <w:tcPr>
            <w:tcW w:w="424"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7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A301预算编制科学性</w:t>
            </w:r>
          </w:p>
        </w:tc>
        <w:tc>
          <w:tcPr>
            <w:tcW w:w="69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科学</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510" w:hRule="atLeast"/>
          <w:jc w:val="center"/>
        </w:trPr>
        <w:tc>
          <w:tcPr>
            <w:tcW w:w="637"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bCs/>
                <w:i w:val="0"/>
                <w:iCs w:val="0"/>
                <w:color w:val="000000"/>
                <w:sz w:val="24"/>
                <w:szCs w:val="24"/>
                <w:u w:val="none"/>
              </w:rPr>
            </w:pPr>
          </w:p>
        </w:tc>
        <w:tc>
          <w:tcPr>
            <w:tcW w:w="42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1033"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424"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7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A302资金分配合理性</w:t>
            </w:r>
          </w:p>
        </w:tc>
        <w:tc>
          <w:tcPr>
            <w:tcW w:w="69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合理</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510" w:hRule="atLeast"/>
          <w:jc w:val="center"/>
        </w:trPr>
        <w:tc>
          <w:tcPr>
            <w:tcW w:w="637"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B过程</w:t>
            </w:r>
          </w:p>
        </w:tc>
        <w:tc>
          <w:tcPr>
            <w:tcW w:w="424"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033"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B1资金管理</w:t>
            </w:r>
          </w:p>
        </w:tc>
        <w:tc>
          <w:tcPr>
            <w:tcW w:w="42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7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B101资金到位率</w:t>
            </w:r>
          </w:p>
        </w:tc>
        <w:tc>
          <w:tcPr>
            <w:tcW w:w="69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100%</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510" w:hRule="atLeast"/>
          <w:jc w:val="center"/>
        </w:trPr>
        <w:tc>
          <w:tcPr>
            <w:tcW w:w="637"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bCs/>
                <w:i w:val="0"/>
                <w:iCs w:val="0"/>
                <w:color w:val="000000"/>
                <w:sz w:val="24"/>
                <w:szCs w:val="24"/>
                <w:u w:val="none"/>
              </w:rPr>
            </w:pPr>
          </w:p>
        </w:tc>
        <w:tc>
          <w:tcPr>
            <w:tcW w:w="42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1033"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42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7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B102预算执行率</w:t>
            </w:r>
          </w:p>
        </w:tc>
        <w:tc>
          <w:tcPr>
            <w:tcW w:w="69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100%</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637"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bCs/>
                <w:i w:val="0"/>
                <w:iCs w:val="0"/>
                <w:color w:val="000000"/>
                <w:sz w:val="24"/>
                <w:szCs w:val="24"/>
                <w:u w:val="none"/>
              </w:rPr>
            </w:pPr>
          </w:p>
        </w:tc>
        <w:tc>
          <w:tcPr>
            <w:tcW w:w="42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1033"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42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7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B103资金使用合规性</w:t>
            </w:r>
          </w:p>
        </w:tc>
        <w:tc>
          <w:tcPr>
            <w:tcW w:w="69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合规</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637"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bCs/>
                <w:i w:val="0"/>
                <w:iCs w:val="0"/>
                <w:color w:val="000000"/>
                <w:sz w:val="24"/>
                <w:szCs w:val="24"/>
                <w:u w:val="none"/>
              </w:rPr>
            </w:pPr>
          </w:p>
        </w:tc>
        <w:tc>
          <w:tcPr>
            <w:tcW w:w="42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1033"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B2组织实施</w:t>
            </w:r>
          </w:p>
        </w:tc>
        <w:tc>
          <w:tcPr>
            <w:tcW w:w="42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B201管理制度健全性</w:t>
            </w:r>
          </w:p>
        </w:tc>
        <w:tc>
          <w:tcPr>
            <w:tcW w:w="69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健全</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637"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bCs/>
                <w:i w:val="0"/>
                <w:iCs w:val="0"/>
                <w:color w:val="000000"/>
                <w:sz w:val="24"/>
                <w:szCs w:val="24"/>
                <w:u w:val="none"/>
              </w:rPr>
            </w:pPr>
          </w:p>
        </w:tc>
        <w:tc>
          <w:tcPr>
            <w:tcW w:w="42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1033"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42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7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B202制度执行有效性</w:t>
            </w:r>
          </w:p>
        </w:tc>
        <w:tc>
          <w:tcPr>
            <w:tcW w:w="69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有效</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637"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bCs/>
                <w:i w:val="0"/>
                <w:iCs w:val="0"/>
                <w:color w:val="000000"/>
                <w:sz w:val="24"/>
                <w:szCs w:val="24"/>
                <w:u w:val="none"/>
              </w:rPr>
            </w:pPr>
          </w:p>
        </w:tc>
        <w:tc>
          <w:tcPr>
            <w:tcW w:w="42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1033"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42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7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B203信息公开</w:t>
            </w:r>
          </w:p>
        </w:tc>
        <w:tc>
          <w:tcPr>
            <w:tcW w:w="69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公开</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637"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bCs/>
                <w:i w:val="0"/>
                <w:iCs w:val="0"/>
                <w:color w:val="000000"/>
                <w:sz w:val="24"/>
                <w:szCs w:val="24"/>
                <w:u w:val="none"/>
              </w:rPr>
            </w:pPr>
          </w:p>
        </w:tc>
        <w:tc>
          <w:tcPr>
            <w:tcW w:w="42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1033"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42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7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B204招投标过程规范性</w:t>
            </w:r>
          </w:p>
        </w:tc>
        <w:tc>
          <w:tcPr>
            <w:tcW w:w="69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规范</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637"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bCs/>
                <w:i w:val="0"/>
                <w:iCs w:val="0"/>
                <w:color w:val="000000"/>
                <w:sz w:val="24"/>
                <w:szCs w:val="24"/>
                <w:u w:val="none"/>
              </w:rPr>
            </w:pPr>
          </w:p>
        </w:tc>
        <w:tc>
          <w:tcPr>
            <w:tcW w:w="42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1033"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42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17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B205项目竣工验收及结算审计情况</w:t>
            </w:r>
          </w:p>
        </w:tc>
        <w:tc>
          <w:tcPr>
            <w:tcW w:w="69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良好</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637"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C产出</w:t>
            </w:r>
          </w:p>
        </w:tc>
        <w:tc>
          <w:tcPr>
            <w:tcW w:w="424"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033"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C1产出数量</w:t>
            </w:r>
          </w:p>
        </w:tc>
        <w:tc>
          <w:tcPr>
            <w:tcW w:w="42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7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C101综合教学楼完成率</w:t>
            </w:r>
          </w:p>
        </w:tc>
        <w:tc>
          <w:tcPr>
            <w:tcW w:w="69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100%</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637"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bCs/>
                <w:i w:val="0"/>
                <w:iCs w:val="0"/>
                <w:color w:val="000000"/>
                <w:sz w:val="24"/>
                <w:szCs w:val="24"/>
                <w:u w:val="none"/>
              </w:rPr>
            </w:pPr>
          </w:p>
        </w:tc>
        <w:tc>
          <w:tcPr>
            <w:tcW w:w="42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1033"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42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7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C102配套工程完成率</w:t>
            </w:r>
          </w:p>
        </w:tc>
        <w:tc>
          <w:tcPr>
            <w:tcW w:w="69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100%</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637"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bCs/>
                <w:i w:val="0"/>
                <w:iCs w:val="0"/>
                <w:color w:val="000000"/>
                <w:sz w:val="24"/>
                <w:szCs w:val="24"/>
                <w:u w:val="none"/>
              </w:rPr>
            </w:pPr>
          </w:p>
        </w:tc>
        <w:tc>
          <w:tcPr>
            <w:tcW w:w="42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10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C2产出时效</w:t>
            </w:r>
          </w:p>
        </w:tc>
        <w:tc>
          <w:tcPr>
            <w:tcW w:w="42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7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C201项目完成及时率</w:t>
            </w:r>
          </w:p>
        </w:tc>
        <w:tc>
          <w:tcPr>
            <w:tcW w:w="69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100%</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637"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bCs/>
                <w:i w:val="0"/>
                <w:iCs w:val="0"/>
                <w:color w:val="000000"/>
                <w:sz w:val="24"/>
                <w:szCs w:val="24"/>
                <w:u w:val="none"/>
              </w:rPr>
            </w:pPr>
          </w:p>
        </w:tc>
        <w:tc>
          <w:tcPr>
            <w:tcW w:w="42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1033"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C3产出质量</w:t>
            </w:r>
          </w:p>
        </w:tc>
        <w:tc>
          <w:tcPr>
            <w:tcW w:w="42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7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C301月报报送质量</w:t>
            </w:r>
          </w:p>
        </w:tc>
        <w:tc>
          <w:tcPr>
            <w:tcW w:w="69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合格</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637"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bCs/>
                <w:i w:val="0"/>
                <w:iCs w:val="0"/>
                <w:color w:val="000000"/>
                <w:sz w:val="24"/>
                <w:szCs w:val="24"/>
                <w:u w:val="none"/>
              </w:rPr>
            </w:pPr>
          </w:p>
        </w:tc>
        <w:tc>
          <w:tcPr>
            <w:tcW w:w="42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1033"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42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7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C302验收合格率</w:t>
            </w:r>
          </w:p>
        </w:tc>
        <w:tc>
          <w:tcPr>
            <w:tcW w:w="69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合格</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637"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D效益</w:t>
            </w:r>
          </w:p>
        </w:tc>
        <w:tc>
          <w:tcPr>
            <w:tcW w:w="424"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033"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D1社会效益</w:t>
            </w:r>
          </w:p>
        </w:tc>
        <w:tc>
          <w:tcPr>
            <w:tcW w:w="42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7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D101改善受教育环境</w:t>
            </w:r>
          </w:p>
        </w:tc>
        <w:tc>
          <w:tcPr>
            <w:tcW w:w="69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改善</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637"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bCs/>
                <w:i w:val="0"/>
                <w:iCs w:val="0"/>
                <w:color w:val="000000"/>
                <w:sz w:val="24"/>
                <w:szCs w:val="24"/>
                <w:u w:val="none"/>
              </w:rPr>
            </w:pPr>
          </w:p>
        </w:tc>
        <w:tc>
          <w:tcPr>
            <w:tcW w:w="42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1033"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42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7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D102推进义务教育均衡发展</w:t>
            </w:r>
          </w:p>
        </w:tc>
        <w:tc>
          <w:tcPr>
            <w:tcW w:w="69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推进</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637"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bCs/>
                <w:i w:val="0"/>
                <w:iCs w:val="0"/>
                <w:color w:val="000000"/>
                <w:sz w:val="24"/>
                <w:szCs w:val="24"/>
                <w:u w:val="none"/>
              </w:rPr>
            </w:pPr>
          </w:p>
        </w:tc>
        <w:tc>
          <w:tcPr>
            <w:tcW w:w="42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1033"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D2可持续影响</w:t>
            </w:r>
          </w:p>
        </w:tc>
        <w:tc>
          <w:tcPr>
            <w:tcW w:w="42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789" w:type="pc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D201教育政策落实情况</w:t>
            </w:r>
          </w:p>
        </w:tc>
        <w:tc>
          <w:tcPr>
            <w:tcW w:w="69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良好</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108" w:type="dxa"/>
            <w:bottom w:w="0" w:type="dxa"/>
            <w:right w:w="108" w:type="dxa"/>
          </w:tblCellMar>
        </w:tblPrEx>
        <w:trPr>
          <w:trHeight w:val="510" w:hRule="atLeast"/>
          <w:jc w:val="center"/>
        </w:trPr>
        <w:tc>
          <w:tcPr>
            <w:tcW w:w="637"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bCs/>
                <w:i w:val="0"/>
                <w:iCs w:val="0"/>
                <w:color w:val="000000"/>
                <w:sz w:val="24"/>
                <w:szCs w:val="24"/>
                <w:u w:val="none"/>
              </w:rPr>
            </w:pPr>
          </w:p>
        </w:tc>
        <w:tc>
          <w:tcPr>
            <w:tcW w:w="42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1033"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42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789" w:type="pc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D202缓解入学压力</w:t>
            </w:r>
          </w:p>
        </w:tc>
        <w:tc>
          <w:tcPr>
            <w:tcW w:w="69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缓解</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637"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bCs/>
                <w:i w:val="0"/>
                <w:iCs w:val="0"/>
                <w:color w:val="000000"/>
                <w:sz w:val="24"/>
                <w:szCs w:val="24"/>
                <w:u w:val="none"/>
              </w:rPr>
            </w:pPr>
          </w:p>
        </w:tc>
        <w:tc>
          <w:tcPr>
            <w:tcW w:w="42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1033"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D3满意度</w:t>
            </w:r>
          </w:p>
        </w:tc>
        <w:tc>
          <w:tcPr>
            <w:tcW w:w="42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789" w:type="pc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D301受益区域家长满意度</w:t>
            </w:r>
          </w:p>
        </w:tc>
        <w:tc>
          <w:tcPr>
            <w:tcW w:w="69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≥90%</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637"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bCs/>
                <w:i w:val="0"/>
                <w:iCs w:val="0"/>
                <w:color w:val="000000"/>
                <w:sz w:val="24"/>
                <w:szCs w:val="24"/>
                <w:u w:val="none"/>
              </w:rPr>
            </w:pPr>
          </w:p>
        </w:tc>
        <w:tc>
          <w:tcPr>
            <w:tcW w:w="42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1033"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p>
        </w:tc>
        <w:tc>
          <w:tcPr>
            <w:tcW w:w="42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789" w:type="pc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D302受益区域学生满意度</w:t>
            </w:r>
          </w:p>
        </w:tc>
        <w:tc>
          <w:tcPr>
            <w:tcW w:w="69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≥90%</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108" w:type="dxa"/>
            <w:bottom w:w="0" w:type="dxa"/>
            <w:right w:w="108" w:type="dxa"/>
          </w:tblCellMar>
        </w:tblPrEx>
        <w:trPr>
          <w:trHeight w:val="510" w:hRule="atLeast"/>
          <w:jc w:val="center"/>
        </w:trPr>
        <w:tc>
          <w:tcPr>
            <w:tcW w:w="63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42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100</w:t>
            </w:r>
          </w:p>
        </w:tc>
        <w:tc>
          <w:tcPr>
            <w:tcW w:w="10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w:t>
            </w:r>
          </w:p>
        </w:tc>
        <w:tc>
          <w:tcPr>
            <w:tcW w:w="42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100</w:t>
            </w:r>
          </w:p>
        </w:tc>
        <w:tc>
          <w:tcPr>
            <w:tcW w:w="17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w:t>
            </w:r>
          </w:p>
        </w:tc>
        <w:tc>
          <w:tcPr>
            <w:tcW w:w="69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w:t>
            </w:r>
          </w:p>
        </w:tc>
      </w:tr>
    </w:tbl>
    <w:p>
      <w:pPr>
        <w:pStyle w:val="5"/>
        <w:keepNext/>
        <w:keepLines/>
        <w:pageBreakBefore w:val="0"/>
        <w:widowControl w:val="0"/>
        <w:kinsoku/>
        <w:wordWrap/>
        <w:overflowPunct/>
        <w:topLinePunct w:val="0"/>
        <w:autoSpaceDE/>
        <w:autoSpaceDN/>
        <w:bidi w:val="0"/>
        <w:adjustRightInd/>
        <w:snapToGrid/>
        <w:spacing w:before="157" w:beforeLines="50"/>
        <w:textAlignment w:val="auto"/>
        <w:rPr>
          <w:rFonts w:hint="eastAsia"/>
          <w:lang w:val="en-US" w:eastAsia="zh-CN"/>
        </w:rPr>
      </w:pPr>
      <w:bookmarkStart w:id="57" w:name="_Toc9025"/>
      <w:r>
        <w:rPr>
          <w:rFonts w:hint="eastAsia"/>
          <w:lang w:val="en-US" w:eastAsia="zh-CN"/>
        </w:rPr>
        <w:t>（五）绩效评价工作过程</w:t>
      </w:r>
      <w:bookmarkEnd w:id="57"/>
    </w:p>
    <w:p>
      <w:pPr>
        <w:bidi w:val="0"/>
        <w:rPr>
          <w:rFonts w:hint="default"/>
          <w:lang w:val="en-US" w:eastAsia="zh-CN"/>
        </w:rPr>
      </w:pPr>
      <w:bookmarkStart w:id="58" w:name="_Toc72769099"/>
      <w:bookmarkStart w:id="59" w:name="_Toc16048"/>
      <w:bookmarkStart w:id="60" w:name="_Toc4626"/>
      <w:bookmarkStart w:id="61" w:name="_Toc32209"/>
      <w:r>
        <w:rPr>
          <w:rFonts w:hint="eastAsia"/>
          <w:lang w:val="en-US" w:eastAsia="zh-CN"/>
        </w:rPr>
        <w:t>接收宁武县财政局</w:t>
      </w:r>
      <w:r>
        <w:rPr>
          <w:rFonts w:hint="default"/>
          <w:lang w:val="en-US" w:eastAsia="zh-CN"/>
        </w:rPr>
        <w:t>的委托</w:t>
      </w:r>
      <w:r>
        <w:rPr>
          <w:rFonts w:hint="eastAsia"/>
          <w:lang w:val="en-US" w:eastAsia="zh-CN"/>
        </w:rPr>
        <w:t>后</w:t>
      </w:r>
      <w:r>
        <w:rPr>
          <w:rFonts w:hint="default"/>
          <w:lang w:val="en-US" w:eastAsia="zh-CN"/>
        </w:rPr>
        <w:t>，我公司高度重视，积极筹备，成立项目领导组负责评价过程的协调和督导。</w:t>
      </w:r>
      <w:r>
        <w:rPr>
          <w:rFonts w:hint="eastAsia"/>
          <w:lang w:val="en-US" w:eastAsia="zh-CN"/>
        </w:rPr>
        <w:t>具体</w:t>
      </w:r>
      <w:r>
        <w:rPr>
          <w:rFonts w:hint="default"/>
          <w:lang w:val="en-US" w:eastAsia="zh-CN"/>
        </w:rPr>
        <w:t>工作分为</w:t>
      </w:r>
      <w:r>
        <w:rPr>
          <w:rFonts w:hint="eastAsia"/>
          <w:lang w:val="en-US" w:eastAsia="zh-CN"/>
        </w:rPr>
        <w:t>前期</w:t>
      </w:r>
      <w:r>
        <w:rPr>
          <w:rFonts w:hint="default"/>
          <w:lang w:val="en-US" w:eastAsia="zh-CN"/>
        </w:rPr>
        <w:t>准备、</w:t>
      </w:r>
      <w:r>
        <w:rPr>
          <w:rFonts w:hint="eastAsia"/>
          <w:lang w:val="en-US" w:eastAsia="zh-CN"/>
        </w:rPr>
        <w:t>现场</w:t>
      </w:r>
      <w:r>
        <w:rPr>
          <w:rFonts w:hint="default"/>
          <w:lang w:val="en-US" w:eastAsia="zh-CN"/>
        </w:rPr>
        <w:t>实施、报告撰写三个阶段。</w:t>
      </w:r>
    </w:p>
    <w:p>
      <w:pPr>
        <w:pStyle w:val="6"/>
        <w:bidi w:val="0"/>
        <w:rPr>
          <w:rFonts w:hint="default"/>
          <w:lang w:val="en-US" w:eastAsia="zh-CN"/>
        </w:rPr>
      </w:pPr>
      <w:r>
        <w:rPr>
          <w:rFonts w:hint="default"/>
          <w:lang w:val="en-US" w:eastAsia="zh-CN"/>
        </w:rPr>
        <w:t>1.评价准备阶段</w:t>
      </w:r>
    </w:p>
    <w:p>
      <w:pPr>
        <w:bidi w:val="0"/>
        <w:rPr>
          <w:rFonts w:hint="default"/>
          <w:lang w:val="en-US" w:eastAsia="zh-CN"/>
        </w:rPr>
      </w:pPr>
      <w:r>
        <w:rPr>
          <w:rFonts w:hint="default"/>
          <w:lang w:val="en-US" w:eastAsia="zh-CN"/>
        </w:rPr>
        <w:t>根据山西省《省级项目支出绩效评价管理办法》（晋财绩〔2020〕17号）文件精神总体要求，明确评价目的和工作思路，联系</w:t>
      </w:r>
      <w:r>
        <w:rPr>
          <w:rFonts w:hint="eastAsia"/>
          <w:lang w:val="en-US" w:eastAsia="zh-CN"/>
        </w:rPr>
        <w:t>宁武县教育科技局</w:t>
      </w:r>
      <w:r>
        <w:rPr>
          <w:rFonts w:hint="default"/>
          <w:lang w:val="en-US" w:eastAsia="zh-CN"/>
        </w:rPr>
        <w:t>开展调研，收集相关政策文件和信息资料，编制绩效评价指标体系、评分标准和评价等级。</w:t>
      </w:r>
    </w:p>
    <w:p>
      <w:pPr>
        <w:pStyle w:val="6"/>
        <w:bidi w:val="0"/>
        <w:rPr>
          <w:rFonts w:hint="default"/>
          <w:lang w:val="en-US" w:eastAsia="zh-CN"/>
        </w:rPr>
      </w:pPr>
      <w:r>
        <w:rPr>
          <w:rFonts w:hint="default"/>
          <w:lang w:val="en-US" w:eastAsia="zh-CN"/>
        </w:rPr>
        <w:t>2.组织实施阶段</w:t>
      </w:r>
    </w:p>
    <w:p>
      <w:pPr>
        <w:bidi w:val="0"/>
        <w:rPr>
          <w:rFonts w:hint="eastAsia"/>
          <w:lang w:val="en-US" w:eastAsia="zh-CN"/>
        </w:rPr>
      </w:pPr>
      <w:r>
        <w:rPr>
          <w:rFonts w:hint="default"/>
          <w:lang w:val="en-US" w:eastAsia="zh-CN"/>
        </w:rPr>
        <w:t>（1）</w:t>
      </w:r>
      <w:r>
        <w:rPr>
          <w:rFonts w:hint="eastAsia"/>
          <w:lang w:val="en-US" w:eastAsia="zh-CN"/>
        </w:rPr>
        <w:t>围绕评价指标补充</w:t>
      </w:r>
      <w:r>
        <w:rPr>
          <w:rFonts w:hint="default"/>
          <w:lang w:val="en-US" w:eastAsia="zh-CN"/>
        </w:rPr>
        <w:t>收集</w:t>
      </w:r>
      <w:r>
        <w:rPr>
          <w:rFonts w:hint="eastAsia"/>
          <w:lang w:val="en-US" w:eastAsia="zh-CN"/>
        </w:rPr>
        <w:t>相关</w:t>
      </w:r>
      <w:r>
        <w:rPr>
          <w:rFonts w:hint="default"/>
          <w:lang w:val="en-US" w:eastAsia="zh-CN"/>
        </w:rPr>
        <w:t>资料</w:t>
      </w:r>
      <w:r>
        <w:rPr>
          <w:rFonts w:hint="eastAsia"/>
          <w:lang w:val="en-US" w:eastAsia="zh-CN"/>
        </w:rPr>
        <w:t>；</w:t>
      </w:r>
    </w:p>
    <w:p>
      <w:pPr>
        <w:bidi w:val="0"/>
        <w:rPr>
          <w:rFonts w:hint="default"/>
          <w:lang w:val="en-US" w:eastAsia="zh-CN"/>
        </w:rPr>
      </w:pPr>
      <w:r>
        <w:rPr>
          <w:rFonts w:hint="default"/>
          <w:lang w:val="en-US" w:eastAsia="zh-CN"/>
        </w:rPr>
        <w:t>（2）现场勘查。根据评价对象的特点和项目单位提供的数据资料，现场勘查项目建设情况及运营情况。</w:t>
      </w:r>
    </w:p>
    <w:p>
      <w:pPr>
        <w:bidi w:val="0"/>
        <w:rPr>
          <w:rFonts w:hint="default"/>
          <w:lang w:val="en-US" w:eastAsia="zh-CN"/>
        </w:rPr>
      </w:pPr>
      <w:r>
        <w:rPr>
          <w:rFonts w:hint="eastAsia"/>
          <w:lang w:val="en-US" w:eastAsia="zh-CN"/>
        </w:rPr>
        <w:t>（3）满意度调查。向项目受益群体发放一定数量的满意度调查问卷，汇总受益群体对项目的意见及建议，形成满意度调查问卷分析。</w:t>
      </w:r>
    </w:p>
    <w:p>
      <w:pPr>
        <w:bidi w:val="0"/>
        <w:rPr>
          <w:rFonts w:hint="default"/>
          <w:lang w:val="en-US" w:eastAsia="zh-CN"/>
        </w:rPr>
      </w:pPr>
      <w:r>
        <w:rPr>
          <w:rFonts w:hint="default"/>
          <w:lang w:val="en-US" w:eastAsia="zh-CN"/>
        </w:rPr>
        <w:t>（</w:t>
      </w:r>
      <w:r>
        <w:rPr>
          <w:rFonts w:hint="eastAsia"/>
          <w:lang w:val="en-US" w:eastAsia="zh-CN"/>
        </w:rPr>
        <w:t>4</w:t>
      </w:r>
      <w:r>
        <w:rPr>
          <w:rFonts w:hint="default"/>
          <w:lang w:val="en-US" w:eastAsia="zh-CN"/>
        </w:rPr>
        <w:t>）综合评价。根据评价工作方案确定的评价指标、评价权重、评价标准和评价方法，对评价对象的情况进行全面的定量定性分析和综合评价。</w:t>
      </w:r>
    </w:p>
    <w:p>
      <w:pPr>
        <w:pStyle w:val="6"/>
        <w:bidi w:val="0"/>
        <w:rPr>
          <w:rFonts w:hint="default"/>
          <w:lang w:val="en-US" w:eastAsia="zh-CN"/>
        </w:rPr>
      </w:pPr>
      <w:r>
        <w:rPr>
          <w:rFonts w:hint="default"/>
          <w:lang w:val="en-US" w:eastAsia="zh-CN"/>
        </w:rPr>
        <w:t>3.报告撰写阶段</w:t>
      </w:r>
    </w:p>
    <w:p>
      <w:pPr>
        <w:bidi w:val="0"/>
        <w:rPr>
          <w:rFonts w:hint="eastAsia"/>
          <w:lang w:val="en-US" w:eastAsia="zh-CN"/>
        </w:rPr>
      </w:pPr>
      <w:r>
        <w:rPr>
          <w:rFonts w:hint="default"/>
          <w:lang w:val="en-US" w:eastAsia="zh-CN"/>
        </w:rPr>
        <w:t>绩效评价组根据被评价单位的绩效情况，按要求撰写评价报告，并根据专家意见进一步完善、修改绩效评价报告，形成</w:t>
      </w:r>
      <w:r>
        <w:rPr>
          <w:rFonts w:hint="eastAsia"/>
          <w:lang w:val="en-US" w:eastAsia="zh-CN"/>
        </w:rPr>
        <w:t>报告提交报送委托评价单位。</w:t>
      </w:r>
    </w:p>
    <w:p>
      <w:pPr>
        <w:pStyle w:val="4"/>
        <w:ind w:firstLine="560"/>
      </w:pPr>
      <w:bookmarkStart w:id="62" w:name="_Toc23435"/>
      <w:r>
        <w:rPr>
          <w:rFonts w:hint="eastAsia"/>
        </w:rPr>
        <w:t>三、综合评价情况及评价结论</w:t>
      </w:r>
      <w:bookmarkEnd w:id="58"/>
      <w:bookmarkEnd w:id="59"/>
      <w:bookmarkEnd w:id="60"/>
      <w:bookmarkEnd w:id="61"/>
      <w:bookmarkEnd w:id="62"/>
    </w:p>
    <w:p>
      <w:pPr>
        <w:pStyle w:val="5"/>
        <w:ind w:firstLine="560"/>
        <w:rPr>
          <w:rFonts w:hint="default" w:eastAsia="楷体_GB2312"/>
          <w:lang w:val="en-US" w:eastAsia="zh-CN"/>
        </w:rPr>
      </w:pPr>
      <w:bookmarkStart w:id="63" w:name="_Toc5870"/>
      <w:bookmarkStart w:id="64" w:name="_Toc12098"/>
      <w:bookmarkStart w:id="65" w:name="_Toc72769100"/>
      <w:bookmarkStart w:id="66" w:name="_Toc27048"/>
      <w:bookmarkStart w:id="67" w:name="_Toc30396"/>
      <w:r>
        <w:rPr>
          <w:rFonts w:hint="eastAsia"/>
        </w:rPr>
        <w:t>（一）</w:t>
      </w:r>
      <w:bookmarkEnd w:id="63"/>
      <w:bookmarkEnd w:id="64"/>
      <w:bookmarkEnd w:id="65"/>
      <w:bookmarkEnd w:id="66"/>
      <w:r>
        <w:rPr>
          <w:rFonts w:hint="eastAsia"/>
          <w:lang w:val="en-US" w:eastAsia="zh-CN"/>
        </w:rPr>
        <w:t>综合评价情况</w:t>
      </w:r>
      <w:bookmarkEnd w:id="67"/>
    </w:p>
    <w:p>
      <w:pPr>
        <w:ind w:firstLine="560"/>
      </w:pPr>
      <w:r>
        <w:rPr>
          <w:rFonts w:hint="eastAsia"/>
        </w:rPr>
        <w:t>本次评价以2021年</w:t>
      </w:r>
      <w:r>
        <w:rPr>
          <w:rFonts w:hint="eastAsia"/>
          <w:lang w:val="en-US" w:eastAsia="zh-CN"/>
        </w:rPr>
        <w:t>9</w:t>
      </w:r>
      <w:r>
        <w:rPr>
          <w:rFonts w:hint="eastAsia"/>
        </w:rPr>
        <w:t>月</w:t>
      </w:r>
      <w:r>
        <w:rPr>
          <w:rFonts w:hint="eastAsia"/>
          <w:lang w:val="en-US" w:eastAsia="zh-CN"/>
        </w:rPr>
        <w:t>30</w:t>
      </w:r>
      <w:r>
        <w:rPr>
          <w:rFonts w:hint="eastAsia"/>
        </w:rPr>
        <w:t>日为评价基准日，采用比较法、综合指数评价法和公众评判法进行绩效评价，对宁武县凤凰小学建设项目实施了现场核查、对比分析、指标评分、报告撰写等必要的评价程序，最终形成如下评价结果，详见表3-1。</w:t>
      </w:r>
    </w:p>
    <w:p>
      <w:pPr>
        <w:ind w:firstLine="560"/>
        <w:rPr>
          <w:rFonts w:hint="eastAsia"/>
          <w:highlight w:val="none"/>
        </w:rPr>
      </w:pPr>
      <w:r>
        <w:rPr>
          <w:rFonts w:hint="eastAsia"/>
          <w:highlight w:val="none"/>
        </w:rPr>
        <w:t>宁武县凤凰小学建设项目资金绩效评价得分为</w:t>
      </w:r>
      <w:r>
        <w:rPr>
          <w:rFonts w:hint="eastAsia"/>
          <w:highlight w:val="none"/>
          <w:lang w:val="en-US" w:eastAsia="zh-CN"/>
        </w:rPr>
        <w:t>55.99</w:t>
      </w:r>
      <w:r>
        <w:rPr>
          <w:rFonts w:hint="eastAsia"/>
          <w:highlight w:val="none"/>
        </w:rPr>
        <w:t>分，评价等级为“</w:t>
      </w:r>
      <w:r>
        <w:rPr>
          <w:rFonts w:hint="eastAsia"/>
          <w:highlight w:val="none"/>
          <w:lang w:val="en-US" w:eastAsia="zh-CN"/>
        </w:rPr>
        <w:t>差</w:t>
      </w:r>
      <w:r>
        <w:rPr>
          <w:rFonts w:hint="eastAsia"/>
          <w:highlight w:val="none"/>
        </w:rPr>
        <w:t>”。</w:t>
      </w:r>
    </w:p>
    <w:p>
      <w:pPr>
        <w:pStyle w:val="2"/>
        <w:rPr>
          <w:rFonts w:hint="eastAsia"/>
          <w:highlight w:val="none"/>
        </w:rPr>
      </w:pPr>
    </w:p>
    <w:p>
      <w:pPr>
        <w:pStyle w:val="3"/>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宋体" w:hAnsi="宋体" w:eastAsia="宋体" w:cs="黑体"/>
          <w:kern w:val="0"/>
          <w:szCs w:val="28"/>
        </w:rPr>
      </w:pPr>
      <w:r>
        <w:rPr>
          <w:rFonts w:hint="eastAsia" w:ascii="宋体" w:hAnsi="宋体" w:eastAsia="宋体" w:cs="黑体"/>
          <w:kern w:val="0"/>
          <w:szCs w:val="28"/>
        </w:rPr>
        <w:t>表3-1 项目总体绩效评价评分表</w:t>
      </w:r>
    </w:p>
    <w:tbl>
      <w:tblPr>
        <w:tblStyle w:val="12"/>
        <w:tblW w:w="5000" w:type="pct"/>
        <w:jc w:val="center"/>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2293"/>
        <w:gridCol w:w="2293"/>
        <w:gridCol w:w="2294"/>
        <w:gridCol w:w="2294"/>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blHeader/>
          <w:jc w:val="center"/>
        </w:trPr>
        <w:tc>
          <w:tcPr>
            <w:tcW w:w="1250" w:type="pct"/>
            <w:shd w:val="clear" w:color="auto" w:fill="BEBEBE" w:themeFill="background1" w:themeFillShade="BF"/>
            <w:vAlign w:val="center"/>
          </w:tcPr>
          <w:p>
            <w:pPr>
              <w:spacing w:line="240" w:lineRule="auto"/>
              <w:ind w:firstLine="0" w:firstLineChars="0"/>
              <w:jc w:val="center"/>
              <w:rPr>
                <w:rFonts w:ascii="宋体" w:hAnsi="宋体" w:eastAsia="宋体" w:cs="仿宋_GB2312"/>
                <w:b/>
                <w:bCs/>
                <w:kern w:val="0"/>
                <w:sz w:val="24"/>
              </w:rPr>
            </w:pPr>
            <w:r>
              <w:rPr>
                <w:rFonts w:hint="eastAsia" w:ascii="宋体" w:hAnsi="宋体" w:eastAsia="宋体" w:cs="仿宋_GB2312"/>
                <w:b/>
                <w:bCs/>
                <w:kern w:val="0"/>
                <w:sz w:val="24"/>
              </w:rPr>
              <w:t>一级指标</w:t>
            </w:r>
          </w:p>
        </w:tc>
        <w:tc>
          <w:tcPr>
            <w:tcW w:w="1250" w:type="pct"/>
            <w:shd w:val="clear" w:color="auto" w:fill="BEBEBE" w:themeFill="background1" w:themeFillShade="BF"/>
            <w:vAlign w:val="center"/>
          </w:tcPr>
          <w:p>
            <w:pPr>
              <w:spacing w:line="240" w:lineRule="auto"/>
              <w:ind w:firstLine="0" w:firstLineChars="0"/>
              <w:jc w:val="center"/>
              <w:rPr>
                <w:rFonts w:ascii="宋体" w:hAnsi="宋体" w:eastAsia="宋体" w:cs="仿宋_GB2312"/>
                <w:b/>
                <w:bCs/>
                <w:kern w:val="0"/>
                <w:sz w:val="24"/>
              </w:rPr>
            </w:pPr>
            <w:r>
              <w:rPr>
                <w:rFonts w:hint="eastAsia" w:ascii="宋体" w:hAnsi="宋体" w:eastAsia="宋体" w:cs="仿宋_GB2312"/>
                <w:b/>
                <w:bCs/>
                <w:kern w:val="0"/>
                <w:sz w:val="24"/>
              </w:rPr>
              <w:t>权重</w:t>
            </w:r>
          </w:p>
        </w:tc>
        <w:tc>
          <w:tcPr>
            <w:tcW w:w="1250" w:type="pct"/>
            <w:shd w:val="clear" w:color="auto" w:fill="BEBEBE" w:themeFill="background1" w:themeFillShade="BF"/>
            <w:vAlign w:val="center"/>
          </w:tcPr>
          <w:p>
            <w:pPr>
              <w:spacing w:line="240" w:lineRule="auto"/>
              <w:ind w:firstLine="0" w:firstLineChars="0"/>
              <w:jc w:val="center"/>
              <w:rPr>
                <w:rFonts w:ascii="宋体" w:hAnsi="宋体" w:eastAsia="宋体" w:cs="仿宋_GB2312"/>
                <w:b/>
                <w:bCs/>
                <w:kern w:val="0"/>
                <w:sz w:val="24"/>
              </w:rPr>
            </w:pPr>
            <w:r>
              <w:rPr>
                <w:rFonts w:hint="eastAsia" w:ascii="宋体" w:hAnsi="宋体" w:eastAsia="宋体" w:cs="仿宋_GB2312"/>
                <w:b/>
                <w:bCs/>
                <w:kern w:val="0"/>
                <w:sz w:val="24"/>
              </w:rPr>
              <w:t>得分</w:t>
            </w:r>
          </w:p>
        </w:tc>
        <w:tc>
          <w:tcPr>
            <w:tcW w:w="1250" w:type="pct"/>
            <w:shd w:val="clear" w:color="auto" w:fill="BEBEBE" w:themeFill="background1" w:themeFillShade="BF"/>
            <w:vAlign w:val="center"/>
          </w:tcPr>
          <w:p>
            <w:pPr>
              <w:spacing w:line="240" w:lineRule="auto"/>
              <w:ind w:firstLine="0" w:firstLineChars="0"/>
              <w:jc w:val="center"/>
              <w:rPr>
                <w:rFonts w:ascii="宋体" w:hAnsi="宋体" w:eastAsia="宋体" w:cs="仿宋_GB2312"/>
                <w:b/>
                <w:bCs/>
                <w:kern w:val="0"/>
                <w:sz w:val="24"/>
              </w:rPr>
            </w:pPr>
            <w:r>
              <w:rPr>
                <w:rFonts w:hint="eastAsia" w:ascii="宋体" w:hAnsi="宋体" w:eastAsia="宋体" w:cs="仿宋_GB2312"/>
                <w:b/>
                <w:bCs/>
                <w:kern w:val="0"/>
                <w:sz w:val="24"/>
              </w:rPr>
              <w:t>得分率</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1250" w:type="pct"/>
            <w:vAlign w:val="center"/>
          </w:tcPr>
          <w:p>
            <w:pPr>
              <w:spacing w:line="240" w:lineRule="auto"/>
              <w:ind w:firstLine="0" w:firstLineChars="0"/>
              <w:jc w:val="center"/>
              <w:rPr>
                <w:rFonts w:ascii="宋体" w:hAnsi="宋体" w:eastAsia="宋体" w:cs="仿宋_GB2312"/>
                <w:kern w:val="0"/>
                <w:sz w:val="24"/>
              </w:rPr>
            </w:pPr>
            <w:r>
              <w:rPr>
                <w:rFonts w:hint="eastAsia" w:ascii="宋体" w:hAnsi="宋体" w:eastAsia="宋体" w:cs="仿宋_GB2312"/>
                <w:kern w:val="0"/>
                <w:sz w:val="24"/>
              </w:rPr>
              <w:t>决策</w:t>
            </w:r>
          </w:p>
        </w:tc>
        <w:tc>
          <w:tcPr>
            <w:tcW w:w="1250"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仿宋_GB2312"/>
                <w:color w:val="000000"/>
                <w:kern w:val="0"/>
                <w:sz w:val="24"/>
                <w:lang w:bidi="ar"/>
              </w:rPr>
              <w:t>20</w:t>
            </w:r>
          </w:p>
        </w:tc>
        <w:tc>
          <w:tcPr>
            <w:tcW w:w="1250" w:type="pct"/>
            <w:vAlign w:val="center"/>
          </w:tcPr>
          <w:p>
            <w:pPr>
              <w:widowControl/>
              <w:spacing w:line="240" w:lineRule="auto"/>
              <w:ind w:firstLine="0" w:firstLineChars="0"/>
              <w:jc w:val="center"/>
              <w:textAlignment w:val="center"/>
              <w:rPr>
                <w:rFonts w:hint="default" w:ascii="宋体" w:hAnsi="宋体" w:eastAsia="宋体" w:cs="仿宋_GB2312"/>
                <w:kern w:val="0"/>
                <w:sz w:val="24"/>
                <w:lang w:val="en-US" w:eastAsia="zh-CN"/>
              </w:rPr>
            </w:pPr>
            <w:r>
              <w:rPr>
                <w:rFonts w:hint="eastAsia" w:ascii="宋体" w:hAnsi="宋体" w:eastAsia="宋体" w:cs="仿宋_GB2312"/>
                <w:kern w:val="0"/>
                <w:sz w:val="24"/>
                <w:lang w:val="en-US" w:eastAsia="zh-CN"/>
              </w:rPr>
              <w:t>17</w:t>
            </w:r>
          </w:p>
        </w:tc>
        <w:tc>
          <w:tcPr>
            <w:tcW w:w="1250" w:type="pct"/>
            <w:vAlign w:val="center"/>
          </w:tcPr>
          <w:p>
            <w:pPr>
              <w:widowControl/>
              <w:spacing w:line="240" w:lineRule="auto"/>
              <w:ind w:firstLine="0" w:firstLineChars="0"/>
              <w:jc w:val="center"/>
              <w:textAlignment w:val="center"/>
              <w:rPr>
                <w:rFonts w:hint="default" w:ascii="宋体" w:hAnsi="宋体" w:eastAsia="宋体" w:cs="仿宋_GB2312"/>
                <w:kern w:val="0"/>
                <w:sz w:val="24"/>
                <w:lang w:val="en-US" w:eastAsia="zh-CN"/>
              </w:rPr>
            </w:pPr>
            <w:r>
              <w:rPr>
                <w:rFonts w:hint="eastAsia" w:ascii="宋体" w:hAnsi="宋体" w:eastAsia="宋体" w:cs="仿宋_GB2312"/>
                <w:kern w:val="0"/>
                <w:sz w:val="24"/>
                <w:lang w:val="en-US" w:eastAsia="zh-CN"/>
              </w:rPr>
              <w:t>85%</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1250" w:type="pct"/>
            <w:vAlign w:val="center"/>
          </w:tcPr>
          <w:p>
            <w:pPr>
              <w:spacing w:line="240" w:lineRule="auto"/>
              <w:ind w:firstLine="0" w:firstLineChars="0"/>
              <w:jc w:val="center"/>
              <w:rPr>
                <w:rFonts w:ascii="宋体" w:hAnsi="宋体" w:eastAsia="宋体" w:cs="仿宋_GB2312"/>
                <w:kern w:val="0"/>
                <w:sz w:val="24"/>
              </w:rPr>
            </w:pPr>
            <w:r>
              <w:rPr>
                <w:rFonts w:hint="eastAsia" w:ascii="宋体" w:hAnsi="宋体" w:eastAsia="宋体" w:cs="仿宋_GB2312"/>
                <w:kern w:val="0"/>
                <w:sz w:val="24"/>
              </w:rPr>
              <w:t>过程</w:t>
            </w:r>
          </w:p>
        </w:tc>
        <w:tc>
          <w:tcPr>
            <w:tcW w:w="1250"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仿宋_GB2312"/>
                <w:color w:val="000000"/>
                <w:kern w:val="0"/>
                <w:sz w:val="24"/>
                <w:lang w:bidi="ar"/>
              </w:rPr>
              <w:t>20</w:t>
            </w:r>
          </w:p>
        </w:tc>
        <w:tc>
          <w:tcPr>
            <w:tcW w:w="1250" w:type="pct"/>
            <w:vAlign w:val="center"/>
          </w:tcPr>
          <w:p>
            <w:pPr>
              <w:widowControl/>
              <w:spacing w:line="240" w:lineRule="auto"/>
              <w:ind w:firstLine="0" w:firstLineChars="0"/>
              <w:jc w:val="center"/>
              <w:textAlignment w:val="center"/>
              <w:rPr>
                <w:rFonts w:hint="default" w:ascii="宋体" w:hAnsi="宋体" w:eastAsia="宋体" w:cs="仿宋_GB2312"/>
                <w:kern w:val="0"/>
                <w:sz w:val="24"/>
                <w:lang w:val="en-US" w:eastAsia="zh-CN"/>
              </w:rPr>
            </w:pPr>
            <w:r>
              <w:rPr>
                <w:rFonts w:hint="eastAsia" w:ascii="宋体" w:hAnsi="宋体" w:eastAsia="宋体" w:cs="仿宋_GB2312"/>
                <w:kern w:val="0"/>
                <w:sz w:val="24"/>
                <w:lang w:val="en-US" w:eastAsia="zh-CN"/>
              </w:rPr>
              <w:t>9.59</w:t>
            </w:r>
          </w:p>
        </w:tc>
        <w:tc>
          <w:tcPr>
            <w:tcW w:w="1250" w:type="pct"/>
            <w:vAlign w:val="center"/>
          </w:tcPr>
          <w:p>
            <w:pPr>
              <w:widowControl/>
              <w:spacing w:line="240" w:lineRule="auto"/>
              <w:ind w:firstLine="0" w:firstLineChars="0"/>
              <w:jc w:val="center"/>
              <w:textAlignment w:val="center"/>
              <w:rPr>
                <w:rFonts w:hint="default" w:ascii="宋体" w:hAnsi="宋体" w:eastAsia="宋体" w:cs="仿宋_GB2312"/>
                <w:kern w:val="0"/>
                <w:sz w:val="24"/>
                <w:lang w:val="en-US" w:eastAsia="zh-CN"/>
              </w:rPr>
            </w:pPr>
            <w:r>
              <w:rPr>
                <w:rFonts w:hint="eastAsia" w:ascii="宋体" w:hAnsi="宋体" w:eastAsia="宋体" w:cs="仿宋_GB2312"/>
                <w:kern w:val="0"/>
                <w:sz w:val="24"/>
                <w:lang w:val="en-US" w:eastAsia="zh-CN"/>
              </w:rPr>
              <w:t>47.95%</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1250" w:type="pct"/>
            <w:vAlign w:val="center"/>
          </w:tcPr>
          <w:p>
            <w:pPr>
              <w:spacing w:line="240" w:lineRule="auto"/>
              <w:ind w:firstLine="0" w:firstLineChars="0"/>
              <w:jc w:val="center"/>
              <w:rPr>
                <w:rFonts w:ascii="宋体" w:hAnsi="宋体" w:eastAsia="宋体" w:cs="仿宋_GB2312"/>
                <w:kern w:val="0"/>
                <w:sz w:val="24"/>
              </w:rPr>
            </w:pPr>
            <w:r>
              <w:rPr>
                <w:rFonts w:hint="eastAsia" w:ascii="宋体" w:hAnsi="宋体" w:eastAsia="宋体" w:cs="仿宋_GB2312"/>
                <w:kern w:val="0"/>
                <w:sz w:val="24"/>
              </w:rPr>
              <w:t>产出</w:t>
            </w:r>
          </w:p>
        </w:tc>
        <w:tc>
          <w:tcPr>
            <w:tcW w:w="1250"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仿宋_GB2312"/>
                <w:color w:val="000000"/>
                <w:kern w:val="0"/>
                <w:sz w:val="24"/>
                <w:lang w:bidi="ar"/>
              </w:rPr>
              <w:t>30</w:t>
            </w:r>
          </w:p>
        </w:tc>
        <w:tc>
          <w:tcPr>
            <w:tcW w:w="1250" w:type="pct"/>
            <w:vAlign w:val="center"/>
          </w:tcPr>
          <w:p>
            <w:pPr>
              <w:widowControl/>
              <w:spacing w:line="240" w:lineRule="auto"/>
              <w:ind w:firstLine="0" w:firstLineChars="0"/>
              <w:jc w:val="center"/>
              <w:textAlignment w:val="center"/>
              <w:rPr>
                <w:rFonts w:hint="default" w:ascii="宋体" w:hAnsi="宋体" w:eastAsia="宋体" w:cs="仿宋_GB2312"/>
                <w:kern w:val="0"/>
                <w:sz w:val="24"/>
                <w:lang w:val="en-US" w:eastAsia="zh-CN"/>
              </w:rPr>
            </w:pPr>
            <w:r>
              <w:rPr>
                <w:rFonts w:hint="eastAsia" w:ascii="宋体" w:hAnsi="宋体" w:eastAsia="宋体" w:cs="仿宋_GB2312"/>
                <w:kern w:val="0"/>
                <w:sz w:val="24"/>
                <w:lang w:val="en-US" w:eastAsia="zh-CN"/>
              </w:rPr>
              <w:t>14.40</w:t>
            </w:r>
          </w:p>
        </w:tc>
        <w:tc>
          <w:tcPr>
            <w:tcW w:w="1250" w:type="pct"/>
            <w:vAlign w:val="center"/>
          </w:tcPr>
          <w:p>
            <w:pPr>
              <w:widowControl/>
              <w:spacing w:line="240" w:lineRule="auto"/>
              <w:ind w:firstLine="0" w:firstLineChars="0"/>
              <w:jc w:val="center"/>
              <w:textAlignment w:val="center"/>
              <w:rPr>
                <w:rFonts w:hint="default" w:ascii="宋体" w:hAnsi="宋体" w:eastAsia="宋体" w:cs="仿宋_GB2312"/>
                <w:kern w:val="0"/>
                <w:sz w:val="24"/>
                <w:lang w:val="en-US" w:eastAsia="zh-CN"/>
              </w:rPr>
            </w:pPr>
            <w:r>
              <w:rPr>
                <w:rFonts w:hint="eastAsia" w:ascii="宋体" w:hAnsi="宋体" w:eastAsia="宋体" w:cs="仿宋_GB2312"/>
                <w:kern w:val="0"/>
                <w:sz w:val="24"/>
                <w:lang w:val="en-US" w:eastAsia="zh-CN"/>
              </w:rPr>
              <w:t>48%</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1250" w:type="pct"/>
            <w:vAlign w:val="center"/>
          </w:tcPr>
          <w:p>
            <w:pPr>
              <w:spacing w:line="240" w:lineRule="auto"/>
              <w:ind w:firstLine="0" w:firstLineChars="0"/>
              <w:jc w:val="center"/>
              <w:rPr>
                <w:rFonts w:ascii="宋体" w:hAnsi="宋体" w:eastAsia="宋体" w:cs="仿宋_GB2312"/>
                <w:kern w:val="0"/>
                <w:sz w:val="24"/>
              </w:rPr>
            </w:pPr>
            <w:r>
              <w:rPr>
                <w:rFonts w:hint="eastAsia" w:ascii="宋体" w:hAnsi="宋体" w:eastAsia="宋体" w:cs="仿宋_GB2312"/>
                <w:kern w:val="0"/>
                <w:sz w:val="24"/>
              </w:rPr>
              <w:t>效益</w:t>
            </w:r>
          </w:p>
        </w:tc>
        <w:tc>
          <w:tcPr>
            <w:tcW w:w="1250"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仿宋_GB2312"/>
                <w:color w:val="000000"/>
                <w:kern w:val="0"/>
                <w:sz w:val="24"/>
                <w:lang w:bidi="ar"/>
              </w:rPr>
              <w:t>30</w:t>
            </w:r>
          </w:p>
        </w:tc>
        <w:tc>
          <w:tcPr>
            <w:tcW w:w="1250" w:type="pct"/>
            <w:vAlign w:val="center"/>
          </w:tcPr>
          <w:p>
            <w:pPr>
              <w:widowControl/>
              <w:spacing w:line="240" w:lineRule="auto"/>
              <w:ind w:firstLine="0" w:firstLineChars="0"/>
              <w:jc w:val="center"/>
              <w:textAlignment w:val="center"/>
              <w:rPr>
                <w:rFonts w:hint="default" w:ascii="宋体" w:hAnsi="宋体" w:eastAsia="宋体" w:cs="仿宋_GB2312"/>
                <w:kern w:val="0"/>
                <w:sz w:val="24"/>
                <w:lang w:val="en-US" w:eastAsia="zh-CN"/>
              </w:rPr>
            </w:pPr>
            <w:r>
              <w:rPr>
                <w:rFonts w:hint="eastAsia" w:ascii="宋体" w:hAnsi="宋体" w:eastAsia="宋体" w:cs="仿宋_GB2312"/>
                <w:kern w:val="0"/>
                <w:sz w:val="24"/>
                <w:lang w:val="en-US" w:eastAsia="zh-CN"/>
              </w:rPr>
              <w:t>15</w:t>
            </w:r>
          </w:p>
        </w:tc>
        <w:tc>
          <w:tcPr>
            <w:tcW w:w="1250" w:type="pct"/>
            <w:vAlign w:val="center"/>
          </w:tcPr>
          <w:p>
            <w:pPr>
              <w:widowControl/>
              <w:spacing w:line="240" w:lineRule="auto"/>
              <w:ind w:firstLine="0" w:firstLineChars="0"/>
              <w:jc w:val="center"/>
              <w:textAlignment w:val="center"/>
              <w:rPr>
                <w:rFonts w:hint="default" w:ascii="宋体" w:hAnsi="宋体" w:eastAsia="宋体" w:cs="仿宋_GB2312"/>
                <w:kern w:val="0"/>
                <w:sz w:val="24"/>
                <w:lang w:val="en-US" w:eastAsia="zh-CN"/>
              </w:rPr>
            </w:pPr>
            <w:r>
              <w:rPr>
                <w:rFonts w:hint="eastAsia" w:ascii="宋体" w:hAnsi="宋体" w:eastAsia="宋体" w:cs="仿宋_GB2312"/>
                <w:kern w:val="0"/>
                <w:sz w:val="24"/>
                <w:lang w:val="en-US" w:eastAsia="zh-CN"/>
              </w:rPr>
              <w:t>50%</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1250" w:type="pct"/>
            <w:vAlign w:val="center"/>
          </w:tcPr>
          <w:p>
            <w:pPr>
              <w:spacing w:line="240" w:lineRule="auto"/>
              <w:ind w:firstLine="0" w:firstLineChars="0"/>
              <w:jc w:val="center"/>
              <w:rPr>
                <w:rFonts w:ascii="宋体" w:hAnsi="宋体" w:eastAsia="宋体" w:cs="仿宋_GB2312"/>
                <w:kern w:val="0"/>
                <w:sz w:val="24"/>
              </w:rPr>
            </w:pPr>
            <w:r>
              <w:rPr>
                <w:rFonts w:hint="eastAsia" w:ascii="宋体" w:hAnsi="宋体" w:eastAsia="宋体" w:cs="仿宋_GB2312"/>
                <w:kern w:val="0"/>
                <w:sz w:val="24"/>
              </w:rPr>
              <w:t>合计</w:t>
            </w:r>
          </w:p>
        </w:tc>
        <w:tc>
          <w:tcPr>
            <w:tcW w:w="1250"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宋体"/>
                <w:color w:val="000000"/>
                <w:kern w:val="0"/>
                <w:sz w:val="24"/>
                <w:lang w:bidi="ar"/>
              </w:rPr>
              <w:t>100</w:t>
            </w:r>
          </w:p>
        </w:tc>
        <w:tc>
          <w:tcPr>
            <w:tcW w:w="1250" w:type="pct"/>
            <w:vAlign w:val="center"/>
          </w:tcPr>
          <w:p>
            <w:pPr>
              <w:widowControl/>
              <w:spacing w:line="240" w:lineRule="auto"/>
              <w:ind w:firstLine="0" w:firstLineChars="0"/>
              <w:jc w:val="center"/>
              <w:textAlignment w:val="center"/>
              <w:rPr>
                <w:rFonts w:hint="default" w:ascii="宋体" w:hAnsi="宋体" w:eastAsia="宋体" w:cs="仿宋_GB2312"/>
                <w:kern w:val="0"/>
                <w:sz w:val="24"/>
                <w:lang w:val="en-US" w:eastAsia="zh-CN"/>
              </w:rPr>
            </w:pPr>
            <w:r>
              <w:rPr>
                <w:rFonts w:hint="eastAsia" w:ascii="宋体" w:hAnsi="宋体" w:eastAsia="宋体" w:cs="仿宋_GB2312"/>
                <w:kern w:val="0"/>
                <w:sz w:val="24"/>
                <w:lang w:val="en-US" w:eastAsia="zh-CN"/>
              </w:rPr>
              <w:t>55.99</w:t>
            </w:r>
          </w:p>
        </w:tc>
        <w:tc>
          <w:tcPr>
            <w:tcW w:w="1250" w:type="pct"/>
            <w:vAlign w:val="center"/>
          </w:tcPr>
          <w:p>
            <w:pPr>
              <w:widowControl/>
              <w:spacing w:line="240" w:lineRule="auto"/>
              <w:ind w:firstLine="0" w:firstLineChars="0"/>
              <w:jc w:val="center"/>
              <w:textAlignment w:val="center"/>
              <w:rPr>
                <w:rFonts w:hint="default" w:ascii="宋体" w:hAnsi="宋体" w:eastAsia="宋体" w:cs="仿宋_GB2312"/>
                <w:kern w:val="0"/>
                <w:sz w:val="24"/>
                <w:lang w:val="en-US" w:eastAsia="zh-CN"/>
              </w:rPr>
            </w:pPr>
            <w:r>
              <w:rPr>
                <w:rFonts w:hint="eastAsia" w:ascii="宋体" w:hAnsi="宋体" w:eastAsia="宋体" w:cs="仿宋_GB2312"/>
                <w:kern w:val="0"/>
                <w:sz w:val="24"/>
                <w:lang w:val="en-US" w:eastAsia="zh-CN"/>
              </w:rPr>
              <w:t>55.99%</w:t>
            </w:r>
          </w:p>
        </w:tc>
      </w:tr>
    </w:tbl>
    <w:p>
      <w:pPr>
        <w:pStyle w:val="5"/>
        <w:keepNext/>
        <w:keepLines/>
        <w:pageBreakBefore w:val="0"/>
        <w:widowControl w:val="0"/>
        <w:kinsoku/>
        <w:wordWrap/>
        <w:overflowPunct/>
        <w:topLinePunct w:val="0"/>
        <w:autoSpaceDE/>
        <w:autoSpaceDN/>
        <w:bidi w:val="0"/>
        <w:adjustRightInd/>
        <w:snapToGrid/>
        <w:spacing w:before="313" w:beforeLines="100"/>
        <w:textAlignment w:val="auto"/>
        <w:rPr>
          <w:rFonts w:hint="default"/>
          <w:lang w:val="en-US" w:eastAsia="zh-CN"/>
        </w:rPr>
      </w:pPr>
      <w:bookmarkStart w:id="68" w:name="_Toc19230"/>
      <w:bookmarkStart w:id="69" w:name="_Toc72769101"/>
      <w:bookmarkStart w:id="70" w:name="_Toc25135"/>
      <w:bookmarkStart w:id="71" w:name="_Toc14547"/>
      <w:bookmarkStart w:id="72" w:name="_Toc23084"/>
      <w:r>
        <w:rPr>
          <w:rFonts w:hint="eastAsia"/>
        </w:rPr>
        <w:t>（二）</w:t>
      </w:r>
      <w:bookmarkEnd w:id="68"/>
      <w:bookmarkEnd w:id="69"/>
      <w:bookmarkEnd w:id="70"/>
      <w:bookmarkEnd w:id="71"/>
      <w:r>
        <w:rPr>
          <w:rFonts w:hint="eastAsia"/>
          <w:lang w:val="en-US" w:eastAsia="zh-CN"/>
        </w:rPr>
        <w:t>评价结论</w:t>
      </w:r>
      <w:bookmarkEnd w:id="72"/>
    </w:p>
    <w:p>
      <w:pPr>
        <w:bidi w:val="0"/>
        <w:rPr>
          <w:rFonts w:hint="default"/>
          <w:lang w:val="en-US" w:eastAsia="zh-CN"/>
        </w:rPr>
      </w:pPr>
      <w:r>
        <w:rPr>
          <w:rFonts w:hint="eastAsia"/>
        </w:rPr>
        <w:t>宁武县凤凰小学建设项目</w:t>
      </w:r>
      <w:r>
        <w:rPr>
          <w:rFonts w:hint="eastAsia"/>
          <w:lang w:val="en-US" w:eastAsia="zh-CN"/>
        </w:rPr>
        <w:t>在评价基准日正在进行高压电力的改造工程，项目尚未完工，效益方面无法具体量化</w:t>
      </w:r>
      <w:r>
        <w:rPr>
          <w:rFonts w:hint="eastAsia"/>
        </w:rPr>
        <w:t>。</w:t>
      </w:r>
    </w:p>
    <w:p>
      <w:pPr>
        <w:bidi w:val="0"/>
        <w:rPr>
          <w:rFonts w:hint="default"/>
          <w:lang w:val="en-US" w:eastAsia="zh-CN"/>
        </w:rPr>
      </w:pPr>
      <w:r>
        <w:rPr>
          <w:rFonts w:hint="eastAsia"/>
        </w:rPr>
        <w:t>宁武县凤凰小学建设项目</w:t>
      </w:r>
      <w:r>
        <w:rPr>
          <w:rFonts w:hint="eastAsia"/>
          <w:lang w:val="en-US" w:eastAsia="zh-CN"/>
        </w:rPr>
        <w:t>通过《关于城区建设项目和村镇建设项目的专题会议纪要》（宁武县人民政府专题会议纪要〔2018〕9次）与《关于宁武县凤凰小学建设项目立项的申请》（宁教发〔2019〕35号）进行立项，并经《关于宁武县凤凰小学建设项目可行性研究报告（代项目建议书）的批复》（宁发改审批〔2019〕29号）进行了批复；3,000万元专项资金于2020年全部到位，但是2020年当年未支出，2021年截至评价基准日（2021年9月30日）支出663.75万元，预算执行率为22.13%，资金使用依据</w:t>
      </w:r>
      <w:r>
        <w:rPr>
          <w:rFonts w:hint="eastAsia"/>
        </w:rPr>
        <w:t>《省级财政专项资金管理办法》</w:t>
      </w:r>
      <w:r>
        <w:rPr>
          <w:rFonts w:hint="eastAsia"/>
          <w:lang w:eastAsia="zh-CN"/>
        </w:rPr>
        <w:t>，</w:t>
      </w:r>
      <w:r>
        <w:rPr>
          <w:rFonts w:hint="eastAsia"/>
          <w:lang w:val="en-US" w:eastAsia="zh-CN"/>
        </w:rPr>
        <w:t>全过程、全方位对专项资金进行规范管理；</w:t>
      </w:r>
      <w:r>
        <w:rPr>
          <w:rFonts w:hint="eastAsia"/>
        </w:rPr>
        <w:t>宁武县凤凰小学建设项目</w:t>
      </w:r>
      <w:r>
        <w:rPr>
          <w:rFonts w:hint="eastAsia"/>
          <w:lang w:val="en-US" w:eastAsia="zh-CN"/>
        </w:rPr>
        <w:t>在评价时，由于</w:t>
      </w:r>
      <w:r>
        <w:rPr>
          <w:rFonts w:hint="eastAsia"/>
        </w:rPr>
        <w:t>工地上空有220KV高压设施未迁出，凤凰小学有部分主体处于高压线下方</w:t>
      </w:r>
      <w:r>
        <w:rPr>
          <w:rFonts w:hint="eastAsia"/>
          <w:lang w:eastAsia="zh-CN"/>
        </w:rPr>
        <w:t>，</w:t>
      </w:r>
      <w:r>
        <w:rPr>
          <w:rFonts w:hint="eastAsia"/>
        </w:rPr>
        <w:t>大型设备进场与工人施工都存在安全隐患</w:t>
      </w:r>
      <w:r>
        <w:rPr>
          <w:rFonts w:hint="eastAsia"/>
          <w:lang w:eastAsia="zh-CN"/>
        </w:rPr>
        <w:t>，</w:t>
      </w:r>
      <w:r>
        <w:rPr>
          <w:rFonts w:hint="eastAsia"/>
          <w:lang w:val="en-US" w:eastAsia="zh-CN"/>
        </w:rPr>
        <w:t>所以只完成了综合教学楼BCD区二层及二层以下；合同约定期限是2020年9月-2022年9月，还未到约定期限，无法确定项目是否会按时完工；项目2020年开始施工后，并未按照约定每月进行报送工程量，评价时只提供了2021年6月一次施工进度表，且项目未完工，施工资料不齐全，不能得出项目质量是否合格。</w:t>
      </w:r>
    </w:p>
    <w:p>
      <w:pPr>
        <w:bidi w:val="0"/>
        <w:rPr>
          <w:rFonts w:hint="default"/>
          <w:lang w:val="en-US" w:eastAsia="zh-CN"/>
        </w:rPr>
      </w:pPr>
      <w:r>
        <w:rPr>
          <w:rFonts w:hint="eastAsia"/>
          <w:lang w:val="en-US" w:eastAsia="zh-CN"/>
        </w:rPr>
        <w:t>可行性研究报告中对凤凰小学建成后的建设规模有所规划，六年制义务小学有24个班级，招生人数达到1080人，改善受教育学生的学习环境；依照《山西省义务教育学校办学基本标准》（试行），提升宁武县小学办学条件，从而推动义务发展教育均衡发展的达标率；围绕教育政策落实情况，对义务教育计划招生、班额限定等制定相关政策，对此政策执行情况予以重点关注，进一步推动政策落实到位；凤凰小学受益学生及家长对项目实施</w:t>
      </w:r>
      <w:r>
        <w:rPr>
          <w:rFonts w:hint="eastAsia"/>
          <w:lang w:val="zh-CN"/>
        </w:rPr>
        <w:t>满意度达9</w:t>
      </w:r>
      <w:r>
        <w:rPr>
          <w:rFonts w:hint="eastAsia"/>
        </w:rPr>
        <w:t>0</w:t>
      </w:r>
      <w:r>
        <w:rPr>
          <w:rFonts w:hint="eastAsia"/>
          <w:lang w:val="zh-CN"/>
        </w:rPr>
        <w:t>%以上。</w:t>
      </w:r>
      <w:r>
        <w:rPr>
          <w:rFonts w:hint="eastAsia"/>
          <w:lang w:val="en-US" w:eastAsia="zh-CN"/>
        </w:rPr>
        <w:t>但由于</w:t>
      </w:r>
      <w:r>
        <w:rPr>
          <w:rFonts w:hint="eastAsia"/>
        </w:rPr>
        <w:t>宁武县凤凰小学建设项目</w:t>
      </w:r>
      <w:r>
        <w:rPr>
          <w:rFonts w:hint="eastAsia"/>
          <w:lang w:val="en-US" w:eastAsia="zh-CN"/>
        </w:rPr>
        <w:t>在评价时还尚未完工，效益类指标得分减半。</w:t>
      </w:r>
    </w:p>
    <w:p>
      <w:pPr>
        <w:pStyle w:val="4"/>
        <w:ind w:firstLine="560"/>
        <w:rPr>
          <w:rFonts w:hint="eastAsia"/>
        </w:rPr>
      </w:pPr>
      <w:bookmarkStart w:id="73" w:name="_Toc25047"/>
      <w:r>
        <w:rPr>
          <w:rFonts w:hint="eastAsia"/>
          <w:lang w:val="en-US" w:eastAsia="zh-CN"/>
        </w:rPr>
        <w:t>四</w:t>
      </w:r>
      <w:r>
        <w:rPr>
          <w:rFonts w:hint="eastAsia"/>
        </w:rPr>
        <w:t>、存在的问题</w:t>
      </w:r>
      <w:bookmarkEnd w:id="73"/>
    </w:p>
    <w:p>
      <w:pPr>
        <w:bidi w:val="0"/>
        <w:rPr>
          <w:rFonts w:hint="eastAsia"/>
        </w:rPr>
      </w:pPr>
      <w:r>
        <w:t>本次评价也发现了一些政策决策</w:t>
      </w:r>
      <w:r>
        <w:rPr>
          <w:rFonts w:hint="eastAsia"/>
          <w:lang w:eastAsia="zh-CN"/>
        </w:rPr>
        <w:t>、</w:t>
      </w:r>
      <w:r>
        <w:t>执行</w:t>
      </w:r>
      <w:r>
        <w:rPr>
          <w:rFonts w:hint="eastAsia"/>
          <w:lang w:val="en-US" w:eastAsia="zh-CN"/>
        </w:rPr>
        <w:t>及效益等</w:t>
      </w:r>
      <w:r>
        <w:t>环节的不足，</w:t>
      </w:r>
      <w:r>
        <w:rPr>
          <w:rFonts w:hint="eastAsia"/>
          <w:lang w:val="en-US" w:eastAsia="zh-CN"/>
        </w:rPr>
        <w:t>评价</w:t>
      </w:r>
      <w:r>
        <w:t>组从政策适应性、资金合规使用、资金拨付、资金执行进度和项目管理等方面进行了全面的对照检查，发现存在的问题主要是：</w:t>
      </w:r>
    </w:p>
    <w:p>
      <w:pPr>
        <w:pStyle w:val="5"/>
        <w:bidi w:val="0"/>
        <w:rPr>
          <w:rFonts w:hint="eastAsia"/>
          <w:lang w:val="en-US" w:eastAsia="zh-CN"/>
        </w:rPr>
      </w:pPr>
      <w:bookmarkStart w:id="74" w:name="_Toc30804"/>
      <w:bookmarkStart w:id="75" w:name="_Toc12017"/>
      <w:bookmarkStart w:id="76" w:name="_Toc16401"/>
      <w:r>
        <w:rPr>
          <w:rFonts w:hint="eastAsia"/>
          <w:lang w:val="en-US" w:eastAsia="zh-CN"/>
        </w:rPr>
        <w:t>（一）资金拨付不及时</w:t>
      </w:r>
      <w:bookmarkEnd w:id="74"/>
      <w:bookmarkEnd w:id="75"/>
      <w:bookmarkEnd w:id="76"/>
    </w:p>
    <w:p>
      <w:pPr>
        <w:bidi w:val="0"/>
        <w:rPr>
          <w:rFonts w:hint="default"/>
          <w:lang w:val="en-US" w:eastAsia="zh-CN"/>
        </w:rPr>
      </w:pPr>
      <w:r>
        <w:t>工作组现场核查过程中发现，</w:t>
      </w:r>
      <w:r>
        <w:rPr>
          <w:rFonts w:hint="eastAsia"/>
          <w:lang w:val="en-US" w:eastAsia="zh-CN"/>
        </w:rPr>
        <w:t>合同中规定：预付款应该在开工日前七日内支付30%；在进度款支付证书签发14天内无特殊情况支付进度款。但</w:t>
      </w:r>
      <w:r>
        <w:rPr>
          <w:rFonts w:hint="eastAsia"/>
        </w:rPr>
        <w:t>宁武县凤凰小学</w:t>
      </w:r>
      <w:r>
        <w:rPr>
          <w:rFonts w:hint="eastAsia"/>
          <w:lang w:val="en-US" w:eastAsia="zh-CN"/>
        </w:rPr>
        <w:t>建设项目专项资金在2020年年初已拨付到位，项目从2020年下旬开始施工，2020年并未拨付相关工程款，在2021年5月份才支付了预付款；项目于2021年6月2日提交了施工进度申请，2021年7月29日才拨付施工进度款。由此可看出，</w:t>
      </w:r>
      <w:r>
        <w:rPr>
          <w:rFonts w:hint="eastAsia"/>
        </w:rPr>
        <w:t>宁武县凤凰小学</w:t>
      </w:r>
      <w:r>
        <w:rPr>
          <w:rFonts w:hint="eastAsia"/>
          <w:lang w:val="en-US" w:eastAsia="zh-CN"/>
        </w:rPr>
        <w:t>建设</w:t>
      </w:r>
      <w:r>
        <w:t>项目专项资金拨付不及时，资金拨付时间与</w:t>
      </w:r>
      <w:r>
        <w:rPr>
          <w:rFonts w:hint="eastAsia"/>
          <w:lang w:val="en-US" w:eastAsia="zh-CN"/>
        </w:rPr>
        <w:t>合同中约定付款期限、施工进度结算申请</w:t>
      </w:r>
      <w:r>
        <w:t>下达之间间隔过长</w:t>
      </w:r>
      <w:r>
        <w:rPr>
          <w:rFonts w:hint="eastAsia"/>
          <w:lang w:eastAsia="zh-CN"/>
        </w:rPr>
        <w:t>。</w:t>
      </w:r>
    </w:p>
    <w:p>
      <w:pPr>
        <w:pStyle w:val="5"/>
        <w:bidi w:val="0"/>
      </w:pPr>
      <w:bookmarkStart w:id="77" w:name="_Toc12064"/>
      <w:bookmarkStart w:id="78" w:name="_Toc1319"/>
      <w:bookmarkStart w:id="79" w:name="_Toc1487"/>
      <w:r>
        <w:rPr>
          <w:rFonts w:hint="eastAsia"/>
          <w:lang w:eastAsia="zh-CN"/>
        </w:rPr>
        <w:t>（</w:t>
      </w:r>
      <w:r>
        <w:rPr>
          <w:rFonts w:hint="eastAsia"/>
          <w:lang w:val="en-US" w:eastAsia="zh-CN"/>
        </w:rPr>
        <w:t>二</w:t>
      </w:r>
      <w:r>
        <w:rPr>
          <w:rFonts w:hint="eastAsia"/>
          <w:lang w:eastAsia="zh-CN"/>
        </w:rPr>
        <w:t>）</w:t>
      </w:r>
      <w:r>
        <w:t>项目专项资金预算执行率偏低</w:t>
      </w:r>
      <w:bookmarkEnd w:id="77"/>
      <w:bookmarkEnd w:id="78"/>
      <w:bookmarkEnd w:id="79"/>
    </w:p>
    <w:p>
      <w:pPr>
        <w:bidi w:val="0"/>
        <w:rPr>
          <w:rFonts w:hint="default"/>
          <w:lang w:val="en-US" w:eastAsia="zh-CN"/>
        </w:rPr>
      </w:pPr>
      <w:r>
        <w:rPr>
          <w:rFonts w:hint="eastAsia"/>
          <w:lang w:val="en-US" w:eastAsia="zh-CN"/>
        </w:rPr>
        <w:t>在现场核查过程中，</w:t>
      </w:r>
      <w:r>
        <w:rPr>
          <w:rFonts w:hint="eastAsia"/>
        </w:rPr>
        <w:t>宁武县凤凰小学</w:t>
      </w:r>
      <w:r>
        <w:rPr>
          <w:rFonts w:hint="eastAsia"/>
          <w:lang w:val="en-US" w:eastAsia="zh-CN"/>
        </w:rPr>
        <w:t>建设项目来源于2020年土地指标跨省域调剂收入安排的支出专项资金3,000万元，截至2021年9月30日共支出663.75万元。其中2020年当年并未支出，只在2021年支出663.75万元，专项资金预算执行率仅为22.13%，项目专项资金使用了过低，</w:t>
      </w:r>
      <w:r>
        <w:t>严重影响了专项资金使用的效益与效果。</w:t>
      </w:r>
    </w:p>
    <w:p>
      <w:pPr>
        <w:pStyle w:val="5"/>
        <w:bidi w:val="0"/>
        <w:rPr>
          <w:rFonts w:hint="default"/>
          <w:lang w:val="en-US" w:eastAsia="zh-CN"/>
        </w:rPr>
      </w:pPr>
      <w:bookmarkStart w:id="80" w:name="_Toc15265"/>
      <w:bookmarkStart w:id="81" w:name="_Toc5334"/>
      <w:bookmarkStart w:id="82" w:name="_Toc3142"/>
      <w:r>
        <w:rPr>
          <w:rFonts w:hint="eastAsia"/>
          <w:lang w:val="en-US" w:eastAsia="zh-CN"/>
        </w:rPr>
        <w:t>（三）前期规划不到位，影响工程进度</w:t>
      </w:r>
      <w:bookmarkEnd w:id="80"/>
      <w:bookmarkEnd w:id="81"/>
      <w:bookmarkEnd w:id="82"/>
    </w:p>
    <w:p>
      <w:pPr>
        <w:bidi w:val="0"/>
        <w:rPr>
          <w:rFonts w:hint="eastAsia"/>
          <w:lang w:val="en-US" w:eastAsia="zh-CN"/>
        </w:rPr>
      </w:pPr>
      <w:r>
        <w:rPr>
          <w:rFonts w:hint="eastAsia"/>
        </w:rPr>
        <w:t>宁武县凤凰小学</w:t>
      </w:r>
      <w:r>
        <w:rPr>
          <w:rFonts w:hint="eastAsia"/>
          <w:lang w:val="en-US" w:eastAsia="zh-CN"/>
        </w:rPr>
        <w:t>建设项目前期未对工地上高压设施做出合适的处理，导致施工过程中发现拆迁征地、</w:t>
      </w:r>
      <w:r>
        <w:rPr>
          <w:rFonts w:hint="eastAsia"/>
        </w:rPr>
        <w:t>工地上空有220KV高压设施未迁出，凤凰小学有部分主体处于高压线下方，大型设备进场与工人施工都存在安全隐患，</w:t>
      </w:r>
      <w:r>
        <w:rPr>
          <w:rFonts w:hint="eastAsia"/>
          <w:lang w:val="en-US" w:eastAsia="zh-CN"/>
        </w:rPr>
        <w:t>严重</w:t>
      </w:r>
      <w:r>
        <w:rPr>
          <w:rFonts w:hint="eastAsia"/>
        </w:rPr>
        <w:t>影响工程进度</w:t>
      </w:r>
      <w:r>
        <w:rPr>
          <w:rFonts w:hint="eastAsia"/>
          <w:lang w:eastAsia="zh-CN"/>
        </w:rPr>
        <w:t>，</w:t>
      </w:r>
      <w:r>
        <w:rPr>
          <w:rFonts w:hint="eastAsia"/>
          <w:lang w:val="en-US" w:eastAsia="zh-CN"/>
        </w:rPr>
        <w:t>整体工期滞后。</w:t>
      </w:r>
    </w:p>
    <w:p>
      <w:pPr>
        <w:pStyle w:val="4"/>
        <w:bidi w:val="0"/>
        <w:rPr>
          <w:rFonts w:hint="eastAsia"/>
        </w:rPr>
      </w:pPr>
      <w:bookmarkStart w:id="83" w:name="_Toc23208"/>
      <w:bookmarkStart w:id="84" w:name="_Toc14879"/>
      <w:bookmarkStart w:id="85" w:name="_Toc10309"/>
      <w:bookmarkStart w:id="86" w:name="_Toc25700"/>
      <w:bookmarkStart w:id="87" w:name="_Toc1672"/>
      <w:r>
        <w:rPr>
          <w:rFonts w:hint="eastAsia"/>
          <w:lang w:val="en-US" w:eastAsia="zh-CN"/>
        </w:rPr>
        <w:t>五</w:t>
      </w:r>
      <w:r>
        <w:rPr>
          <w:rFonts w:hint="eastAsia"/>
        </w:rPr>
        <w:t>、有关建议</w:t>
      </w:r>
      <w:bookmarkEnd w:id="83"/>
      <w:bookmarkEnd w:id="84"/>
      <w:bookmarkEnd w:id="85"/>
      <w:bookmarkEnd w:id="86"/>
      <w:bookmarkEnd w:id="87"/>
    </w:p>
    <w:p>
      <w:pPr>
        <w:pStyle w:val="5"/>
        <w:bidi w:val="0"/>
        <w:rPr>
          <w:rFonts w:hint="eastAsia"/>
          <w:lang w:val="en-US" w:eastAsia="zh-CN"/>
        </w:rPr>
      </w:pPr>
      <w:bookmarkStart w:id="88" w:name="_Toc23756"/>
      <w:bookmarkStart w:id="89" w:name="_Toc23310"/>
      <w:bookmarkStart w:id="90" w:name="_Toc7290"/>
      <w:r>
        <w:t>（</w:t>
      </w:r>
      <w:r>
        <w:rPr>
          <w:rFonts w:hint="eastAsia"/>
          <w:lang w:val="en-US" w:eastAsia="zh-CN"/>
        </w:rPr>
        <w:t>一</w:t>
      </w:r>
      <w:r>
        <w:t>）提高资金拨付及时性，</w:t>
      </w:r>
      <w:r>
        <w:rPr>
          <w:rFonts w:hint="eastAsia"/>
          <w:lang w:val="en-US" w:eastAsia="zh-CN"/>
        </w:rPr>
        <w:t>强化资金监管</w:t>
      </w:r>
      <w:bookmarkEnd w:id="88"/>
      <w:bookmarkEnd w:id="89"/>
      <w:bookmarkEnd w:id="90"/>
    </w:p>
    <w:p>
      <w:pPr>
        <w:bidi w:val="0"/>
      </w:pPr>
      <w:r>
        <w:t xml:space="preserve"> </w:t>
      </w:r>
      <w:r>
        <w:rPr>
          <w:rFonts w:hint="eastAsia"/>
          <w:lang w:val="en-US" w:eastAsia="zh-CN"/>
        </w:rPr>
        <w:t>施工单位、监理单位</w:t>
      </w:r>
      <w:r>
        <w:t>和</w:t>
      </w:r>
      <w:r>
        <w:rPr>
          <w:rFonts w:hint="eastAsia"/>
          <w:lang w:val="en-US" w:eastAsia="zh-CN"/>
        </w:rPr>
        <w:t>宁武县教育科技局应该</w:t>
      </w:r>
      <w:r>
        <w:t>通力合作，避免资金拨付、到位不及时的问题。财政部门进一步规范专项资金的拨付流程，明确拨付资金的时间节点、条件及未及时拨付资金的处理措施，确保及时拨付专项资金。主管部门业务处室及时获取专项资金的下达通知，关注专项资金的拨付进度，对拨付到位的及时告知项目实施单位，对拨付未到位的及时跟进，保证专项资金的及时、有效使用，提高资金使用效益。项目实施单位应加强与上级主管部门和财政部门的联系，同时加强单位内部业务部门与财务部门的沟通，</w:t>
      </w:r>
      <w:r>
        <w:rPr>
          <w:rFonts w:hint="eastAsia"/>
          <w:lang w:val="en-US" w:eastAsia="zh-CN"/>
        </w:rPr>
        <w:t>施工单位</w:t>
      </w:r>
      <w:r>
        <w:t>应主动获取专项资金下达通知，及时传递至财务部门，与其核对资金请款拨付到位情况。</w:t>
      </w:r>
    </w:p>
    <w:p>
      <w:pPr>
        <w:pStyle w:val="5"/>
        <w:bidi w:val="0"/>
        <w:rPr>
          <w:rFonts w:hint="eastAsia"/>
          <w:lang w:val="en-US" w:eastAsia="zh-CN"/>
        </w:rPr>
      </w:pPr>
      <w:bookmarkStart w:id="91" w:name="_Toc15992"/>
      <w:bookmarkStart w:id="92" w:name="_Toc13610"/>
      <w:bookmarkStart w:id="93" w:name="_Toc17801"/>
      <w:r>
        <w:rPr>
          <w:rFonts w:hint="eastAsia"/>
          <w:lang w:val="en-US" w:eastAsia="zh-CN"/>
        </w:rPr>
        <w:t>（二）完善绩效目标设定和监控机制</w:t>
      </w:r>
      <w:bookmarkEnd w:id="91"/>
      <w:bookmarkEnd w:id="92"/>
      <w:bookmarkEnd w:id="93"/>
    </w:p>
    <w:p>
      <w:pPr>
        <w:rPr>
          <w:rFonts w:hint="eastAsia"/>
          <w:lang w:val="en-US" w:eastAsia="zh-CN"/>
        </w:rPr>
      </w:pPr>
      <w:r>
        <w:rPr>
          <w:rFonts w:hint="eastAsia"/>
          <w:lang w:val="en-US" w:eastAsia="zh-CN"/>
        </w:rPr>
        <w:t>推进预算绩效管理，将</w:t>
      </w:r>
      <w:r>
        <w:rPr>
          <w:rFonts w:hint="eastAsia"/>
        </w:rPr>
        <w:t>宁武县凤凰小学</w:t>
      </w:r>
      <w:r>
        <w:rPr>
          <w:rFonts w:hint="eastAsia"/>
          <w:lang w:val="en-US" w:eastAsia="zh-CN"/>
        </w:rPr>
        <w:t>建设项目专项资金纳入省、市绩效评价范围，通过绩效跟踪、中期检查等方式，落实好预算绩效目标。完善专项资金绩效目标管理。结合年度重点工作，按专项资金的支持方向设定科学、合理、完整的绩效指标，为预算编制和分配、专项绩效监控开展和绩效评价提供重要基础和依据。同时，在项目申报、立项时，应在申报书或方案内明确项目绩效目标，可考虑针对同一类型的项目建立规范、统一的绩效目标框架，便于后期的项目验收、考评等工作，也能为专项资金绩效评价提供可整合的数据基础。完善绩效目标监控机制，形成常规性的监督机制，及</w:t>
      </w:r>
      <w:r>
        <w:t>时发现和掌握项目实施、项目目标完成及专项资金的使用情况，并根据情况适时采取相应的措施，以确保项目目标的达成、专项资金效益的发</w:t>
      </w:r>
      <w:r>
        <w:rPr>
          <w:rFonts w:hint="eastAsia"/>
          <w:lang w:val="en-US" w:eastAsia="zh-CN"/>
        </w:rPr>
        <w:t>挥。有效督促单位加强专项资金绩效管理，确保义务教育均衡发展，不辜负广大群众对公平教育和优质教育的双重期盼。</w:t>
      </w:r>
    </w:p>
    <w:p>
      <w:pPr>
        <w:pStyle w:val="5"/>
        <w:bidi w:val="0"/>
        <w:rPr>
          <w:rFonts w:hint="eastAsia"/>
          <w:lang w:val="en-US" w:eastAsia="zh-CN"/>
        </w:rPr>
      </w:pPr>
      <w:bookmarkStart w:id="94" w:name="_Toc31676"/>
      <w:bookmarkStart w:id="95" w:name="_Toc23831"/>
      <w:bookmarkStart w:id="96" w:name="_Toc12456"/>
      <w:r>
        <w:rPr>
          <w:rFonts w:hint="eastAsia"/>
          <w:lang w:eastAsia="zh-CN"/>
        </w:rPr>
        <w:t>（</w:t>
      </w:r>
      <w:r>
        <w:rPr>
          <w:rFonts w:hint="eastAsia"/>
          <w:lang w:val="en-US" w:eastAsia="zh-CN"/>
        </w:rPr>
        <w:t>三</w:t>
      </w:r>
      <w:r>
        <w:rPr>
          <w:rFonts w:hint="eastAsia"/>
          <w:lang w:eastAsia="zh-CN"/>
        </w:rPr>
        <w:t>）</w:t>
      </w:r>
      <w:r>
        <w:rPr>
          <w:rFonts w:hint="eastAsia"/>
          <w:lang w:val="en-US" w:eastAsia="zh-CN"/>
        </w:rPr>
        <w:t>完善前期规划，保证按期完工</w:t>
      </w:r>
      <w:bookmarkEnd w:id="94"/>
      <w:bookmarkEnd w:id="95"/>
      <w:bookmarkEnd w:id="96"/>
    </w:p>
    <w:p>
      <w:pPr>
        <w:bidi w:val="0"/>
        <w:rPr>
          <w:rFonts w:hint="default"/>
          <w:lang w:val="en-US" w:eastAsia="zh-CN"/>
        </w:rPr>
      </w:pPr>
      <w:r>
        <w:rPr>
          <w:rFonts w:hint="eastAsia"/>
          <w:lang w:val="en-US" w:eastAsia="zh-CN"/>
        </w:rPr>
        <w:t>一方面，增强前期规划的透明度，加强民众参与力度也是完善规划的有效途径。另一方面，加强前期规划调研监管力度，避免搞形式主义、走过场、不深入，对规划调研结果不做深入分析。</w:t>
      </w:r>
      <w:r>
        <w:rPr>
          <w:rFonts w:hint="eastAsia"/>
        </w:rPr>
        <w:t>宁武县凤凰小学建设项目</w:t>
      </w:r>
      <w:r>
        <w:rPr>
          <w:rFonts w:hint="eastAsia"/>
          <w:lang w:val="en-US" w:eastAsia="zh-CN"/>
        </w:rPr>
        <w:t>应该尽快完善前期相关手续，加快高压电力设施改造，加快工程施工进度，尽量保证按期交工。</w:t>
      </w:r>
    </w:p>
    <w:sectPr>
      <w:headerReference r:id="rId6" w:type="default"/>
      <w:footerReference r:id="rId7" w:type="default"/>
      <w:pgSz w:w="11906" w:h="16838"/>
      <w:pgMar w:top="2041" w:right="1417" w:bottom="1417" w:left="1531"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none" w:color="auto" w:sz="0" w:space="0"/>
      </w:pBdr>
      <w:kinsoku/>
      <w:wordWrap/>
      <w:overflowPunct/>
      <w:topLinePunct w:val="0"/>
      <w:autoSpaceDE/>
      <w:autoSpaceDN/>
      <w:bidi w:val="0"/>
      <w:adjustRightInd/>
      <w:snapToGrid/>
      <w:spacing w:line="240" w:lineRule="auto"/>
      <w:ind w:firstLine="0" w:firstLineChars="0"/>
      <w:jc w:val="both"/>
      <w:textAlignment w:val="auto"/>
      <w:outlineLvl w:val="0"/>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single" w:color="auto" w:sz="4" w:space="0"/>
      </w:pBdr>
      <w:kinsoku/>
      <w:wordWrap/>
      <w:overflowPunct/>
      <w:topLinePunct w:val="0"/>
      <w:autoSpaceDE/>
      <w:autoSpaceDN/>
      <w:bidi w:val="0"/>
      <w:adjustRightInd/>
      <w:snapToGrid/>
      <w:spacing w:line="240" w:lineRule="auto"/>
      <w:ind w:firstLine="0" w:firstLineChars="0"/>
      <w:jc w:val="center"/>
      <w:textAlignment w:val="auto"/>
      <w:outlineLvl w:val="0"/>
      <w:rPr>
        <w:rFonts w:hint="eastAsia" w:ascii="宋体" w:hAnsi="宋体" w:eastAsia="宋体" w:cs="宋体"/>
        <w:sz w:val="24"/>
        <w:szCs w:val="24"/>
        <w:lang w:val="en-US" w:eastAsia="zh-CN"/>
      </w:rPr>
    </w:pPr>
  </w:p>
  <w:p>
    <w:pPr>
      <w:keepNext w:val="0"/>
      <w:keepLines w:val="0"/>
      <w:pageBreakBefore w:val="0"/>
      <w:widowControl w:val="0"/>
      <w:pBdr>
        <w:bottom w:val="single" w:color="auto" w:sz="4" w:space="0"/>
      </w:pBdr>
      <w:kinsoku/>
      <w:wordWrap/>
      <w:overflowPunct/>
      <w:topLinePunct w:val="0"/>
      <w:autoSpaceDE/>
      <w:autoSpaceDN/>
      <w:bidi w:val="0"/>
      <w:adjustRightInd/>
      <w:snapToGrid/>
      <w:spacing w:line="240" w:lineRule="auto"/>
      <w:ind w:firstLine="0" w:firstLineChars="0"/>
      <w:jc w:val="center"/>
      <w:textAlignment w:val="auto"/>
      <w:outlineLvl w:val="0"/>
      <w:rPr>
        <w:rFonts w:hint="eastAsia" w:ascii="宋体" w:hAnsi="宋体" w:eastAsia="宋体" w:cs="宋体"/>
        <w:sz w:val="22"/>
        <w:szCs w:val="22"/>
      </w:rPr>
    </w:pPr>
    <w:r>
      <w:rPr>
        <w:rFonts w:hint="eastAsia" w:ascii="宋体" w:hAnsi="宋体" w:eastAsia="宋体" w:cs="宋体"/>
        <w:sz w:val="22"/>
        <w:szCs w:val="22"/>
      </w:rPr>
      <w:drawing>
        <wp:inline distT="0" distB="0" distL="114300" distR="114300">
          <wp:extent cx="240665" cy="240665"/>
          <wp:effectExtent l="0" t="0" r="63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hint="eastAsia" w:ascii="宋体" w:hAnsi="宋体" w:eastAsia="宋体" w:cs="宋体"/>
        <w:sz w:val="22"/>
        <w:szCs w:val="22"/>
        <w:lang w:val="en-US" w:eastAsia="zh-CN"/>
      </w:rPr>
      <w:t>山西亚泰                               宁武县凤凰小学建设项目资金绩效评价报告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zMTJhOTM5OThiZDJiYWUyM2UzNTYxOGQwOTdjMDcifQ=="/>
  </w:docVars>
  <w:rsids>
    <w:rsidRoot w:val="355A09D1"/>
    <w:rsid w:val="002024ED"/>
    <w:rsid w:val="005F566C"/>
    <w:rsid w:val="007B679E"/>
    <w:rsid w:val="00D63F0B"/>
    <w:rsid w:val="02511F38"/>
    <w:rsid w:val="03034384"/>
    <w:rsid w:val="032A1207"/>
    <w:rsid w:val="042235A1"/>
    <w:rsid w:val="044D7E47"/>
    <w:rsid w:val="04F40BB4"/>
    <w:rsid w:val="05044918"/>
    <w:rsid w:val="05243113"/>
    <w:rsid w:val="073A03DB"/>
    <w:rsid w:val="07CD05BB"/>
    <w:rsid w:val="080F7DC0"/>
    <w:rsid w:val="09BB6528"/>
    <w:rsid w:val="09D50E6C"/>
    <w:rsid w:val="0A455905"/>
    <w:rsid w:val="0ADE266A"/>
    <w:rsid w:val="0CCA730B"/>
    <w:rsid w:val="0CF174F5"/>
    <w:rsid w:val="0D7B6CD8"/>
    <w:rsid w:val="105356CA"/>
    <w:rsid w:val="109A5369"/>
    <w:rsid w:val="10AC6176"/>
    <w:rsid w:val="138760E3"/>
    <w:rsid w:val="14D7452C"/>
    <w:rsid w:val="152A5A7C"/>
    <w:rsid w:val="15D27577"/>
    <w:rsid w:val="17BE7C25"/>
    <w:rsid w:val="18F11587"/>
    <w:rsid w:val="193F08F1"/>
    <w:rsid w:val="19802E51"/>
    <w:rsid w:val="19906B90"/>
    <w:rsid w:val="1AA77A79"/>
    <w:rsid w:val="1AE83075"/>
    <w:rsid w:val="1B75382A"/>
    <w:rsid w:val="1C277892"/>
    <w:rsid w:val="1C345126"/>
    <w:rsid w:val="1C530842"/>
    <w:rsid w:val="1D827A8D"/>
    <w:rsid w:val="1DC80687"/>
    <w:rsid w:val="2009223E"/>
    <w:rsid w:val="200F693D"/>
    <w:rsid w:val="21631D9D"/>
    <w:rsid w:val="21997BB8"/>
    <w:rsid w:val="21D34A32"/>
    <w:rsid w:val="22573EE8"/>
    <w:rsid w:val="226C2C05"/>
    <w:rsid w:val="22BA1BBB"/>
    <w:rsid w:val="23E62731"/>
    <w:rsid w:val="242F3D96"/>
    <w:rsid w:val="247C492D"/>
    <w:rsid w:val="249301AB"/>
    <w:rsid w:val="24DA1A63"/>
    <w:rsid w:val="275D5465"/>
    <w:rsid w:val="278C3971"/>
    <w:rsid w:val="27EA5073"/>
    <w:rsid w:val="29440BE0"/>
    <w:rsid w:val="29555B35"/>
    <w:rsid w:val="2A273CE2"/>
    <w:rsid w:val="2C00480B"/>
    <w:rsid w:val="2CF700C0"/>
    <w:rsid w:val="2D9C523F"/>
    <w:rsid w:val="2E2C3142"/>
    <w:rsid w:val="2E5E0365"/>
    <w:rsid w:val="2EE75C20"/>
    <w:rsid w:val="2F04432A"/>
    <w:rsid w:val="2F54533D"/>
    <w:rsid w:val="2F8270A2"/>
    <w:rsid w:val="2FDC5924"/>
    <w:rsid w:val="319544F4"/>
    <w:rsid w:val="325004D2"/>
    <w:rsid w:val="326C57A7"/>
    <w:rsid w:val="327C1105"/>
    <w:rsid w:val="32E04F37"/>
    <w:rsid w:val="33605D91"/>
    <w:rsid w:val="34C470D2"/>
    <w:rsid w:val="351A24E7"/>
    <w:rsid w:val="353E309C"/>
    <w:rsid w:val="355A09D1"/>
    <w:rsid w:val="356F7381"/>
    <w:rsid w:val="37917EA8"/>
    <w:rsid w:val="384D2733"/>
    <w:rsid w:val="38A763B6"/>
    <w:rsid w:val="3A30598C"/>
    <w:rsid w:val="3BAA031D"/>
    <w:rsid w:val="3CE4209F"/>
    <w:rsid w:val="3D9B68EF"/>
    <w:rsid w:val="3E06788F"/>
    <w:rsid w:val="3EA00ACB"/>
    <w:rsid w:val="3F9C6C29"/>
    <w:rsid w:val="3FA51F2D"/>
    <w:rsid w:val="40073668"/>
    <w:rsid w:val="411A06F5"/>
    <w:rsid w:val="419229A6"/>
    <w:rsid w:val="41A158A7"/>
    <w:rsid w:val="41BF4719"/>
    <w:rsid w:val="420F3A8D"/>
    <w:rsid w:val="427B631F"/>
    <w:rsid w:val="440D192B"/>
    <w:rsid w:val="44DD155D"/>
    <w:rsid w:val="44EF25F0"/>
    <w:rsid w:val="457C16E2"/>
    <w:rsid w:val="45994624"/>
    <w:rsid w:val="45BB77FC"/>
    <w:rsid w:val="45DB177F"/>
    <w:rsid w:val="472B476C"/>
    <w:rsid w:val="482D4133"/>
    <w:rsid w:val="48EA1DB4"/>
    <w:rsid w:val="4B124D2C"/>
    <w:rsid w:val="4E8E5A57"/>
    <w:rsid w:val="4EEE1D4A"/>
    <w:rsid w:val="4F3073DE"/>
    <w:rsid w:val="50676898"/>
    <w:rsid w:val="5080143B"/>
    <w:rsid w:val="50F05D4E"/>
    <w:rsid w:val="52345315"/>
    <w:rsid w:val="527E1EAF"/>
    <w:rsid w:val="53327CB8"/>
    <w:rsid w:val="533A7BCF"/>
    <w:rsid w:val="54622056"/>
    <w:rsid w:val="54BF0952"/>
    <w:rsid w:val="56260168"/>
    <w:rsid w:val="56331C74"/>
    <w:rsid w:val="56D45F89"/>
    <w:rsid w:val="56DE03AA"/>
    <w:rsid w:val="57E41C07"/>
    <w:rsid w:val="57F31FAB"/>
    <w:rsid w:val="580469FA"/>
    <w:rsid w:val="594310C3"/>
    <w:rsid w:val="59E06B5C"/>
    <w:rsid w:val="5B0D45F8"/>
    <w:rsid w:val="5B1305BF"/>
    <w:rsid w:val="5B7F7A24"/>
    <w:rsid w:val="5C9F7A94"/>
    <w:rsid w:val="5D643C36"/>
    <w:rsid w:val="5E7902F2"/>
    <w:rsid w:val="5FA61A45"/>
    <w:rsid w:val="5FAA0C8C"/>
    <w:rsid w:val="60253F61"/>
    <w:rsid w:val="6069151A"/>
    <w:rsid w:val="60881255"/>
    <w:rsid w:val="612451FF"/>
    <w:rsid w:val="6136250E"/>
    <w:rsid w:val="62055F69"/>
    <w:rsid w:val="62297711"/>
    <w:rsid w:val="62546868"/>
    <w:rsid w:val="62662C4E"/>
    <w:rsid w:val="62A57DC9"/>
    <w:rsid w:val="62C73295"/>
    <w:rsid w:val="636350B4"/>
    <w:rsid w:val="637E73D1"/>
    <w:rsid w:val="63805F24"/>
    <w:rsid w:val="63DD7CA5"/>
    <w:rsid w:val="64445C9A"/>
    <w:rsid w:val="64811712"/>
    <w:rsid w:val="648D1AF3"/>
    <w:rsid w:val="658100F2"/>
    <w:rsid w:val="659A2618"/>
    <w:rsid w:val="65C459D3"/>
    <w:rsid w:val="668F6128"/>
    <w:rsid w:val="674A0D1D"/>
    <w:rsid w:val="67AB1BFB"/>
    <w:rsid w:val="67CB586A"/>
    <w:rsid w:val="683C0C0C"/>
    <w:rsid w:val="68E67175"/>
    <w:rsid w:val="69936844"/>
    <w:rsid w:val="6A397B17"/>
    <w:rsid w:val="6AA72BF5"/>
    <w:rsid w:val="6B470E04"/>
    <w:rsid w:val="6B880537"/>
    <w:rsid w:val="6B92633D"/>
    <w:rsid w:val="6BA750DB"/>
    <w:rsid w:val="6BDE5A89"/>
    <w:rsid w:val="6C846C51"/>
    <w:rsid w:val="6D126CAD"/>
    <w:rsid w:val="6DAE2B0E"/>
    <w:rsid w:val="6FCB6BBA"/>
    <w:rsid w:val="70A96592"/>
    <w:rsid w:val="715D35FF"/>
    <w:rsid w:val="729007A6"/>
    <w:rsid w:val="72A54B0A"/>
    <w:rsid w:val="730670B9"/>
    <w:rsid w:val="73423E9B"/>
    <w:rsid w:val="73AB3DCB"/>
    <w:rsid w:val="7430148D"/>
    <w:rsid w:val="74E87BB0"/>
    <w:rsid w:val="750D55D3"/>
    <w:rsid w:val="760D6EB5"/>
    <w:rsid w:val="77CA668C"/>
    <w:rsid w:val="77E27BF2"/>
    <w:rsid w:val="77F008AA"/>
    <w:rsid w:val="78076493"/>
    <w:rsid w:val="78A54797"/>
    <w:rsid w:val="7940105E"/>
    <w:rsid w:val="7A503173"/>
    <w:rsid w:val="7C9D2D08"/>
    <w:rsid w:val="7CD6718F"/>
    <w:rsid w:val="7D065B9E"/>
    <w:rsid w:val="7D454744"/>
    <w:rsid w:val="7D650361"/>
    <w:rsid w:val="7D722A45"/>
    <w:rsid w:val="7D904F84"/>
    <w:rsid w:val="7EB66A91"/>
    <w:rsid w:val="7F094BB9"/>
    <w:rsid w:val="7F1B5673"/>
    <w:rsid w:val="7FEF3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80" w:firstLineChars="200"/>
      <w:jc w:val="both"/>
    </w:pPr>
    <w:rPr>
      <w:rFonts w:ascii="仿宋_GB2312" w:hAnsi="仿宋_GB2312" w:eastAsia="仿宋_GB2312" w:cstheme="minorBidi"/>
      <w:kern w:val="2"/>
      <w:sz w:val="28"/>
      <w:szCs w:val="24"/>
      <w:lang w:val="en-US" w:eastAsia="zh-CN" w:bidi="ar-SA"/>
    </w:rPr>
  </w:style>
  <w:style w:type="paragraph" w:styleId="4">
    <w:name w:val="heading 1"/>
    <w:basedOn w:val="1"/>
    <w:next w:val="1"/>
    <w:qFormat/>
    <w:uiPriority w:val="0"/>
    <w:pPr>
      <w:keepNext/>
      <w:keepLines/>
      <w:spacing w:beforeLines="0" w:beforeAutospacing="0" w:afterLines="0" w:afterAutospacing="0" w:line="360" w:lineRule="auto"/>
      <w:outlineLvl w:val="0"/>
    </w:pPr>
    <w:rPr>
      <w:rFonts w:ascii="黑体" w:hAnsi="黑体" w:eastAsia="黑体"/>
      <w:kern w:val="44"/>
      <w:sz w:val="28"/>
    </w:rPr>
  </w:style>
  <w:style w:type="paragraph" w:styleId="5">
    <w:name w:val="heading 2"/>
    <w:basedOn w:val="1"/>
    <w:next w:val="1"/>
    <w:link w:val="18"/>
    <w:unhideWhenUsed/>
    <w:qFormat/>
    <w:uiPriority w:val="0"/>
    <w:pPr>
      <w:keepNext/>
      <w:keepLines/>
      <w:spacing w:beforeLines="0" w:beforeAutospacing="0" w:afterLines="0" w:afterAutospacing="0" w:line="360" w:lineRule="auto"/>
      <w:outlineLvl w:val="1"/>
    </w:pPr>
    <w:rPr>
      <w:rFonts w:ascii="楷体_GB2312" w:hAnsi="楷体_GB2312" w:eastAsia="楷体_GB2312"/>
      <w:sz w:val="28"/>
    </w:rPr>
  </w:style>
  <w:style w:type="paragraph" w:styleId="6">
    <w:name w:val="heading 3"/>
    <w:basedOn w:val="1"/>
    <w:next w:val="1"/>
    <w:unhideWhenUsed/>
    <w:qFormat/>
    <w:uiPriority w:val="0"/>
    <w:pPr>
      <w:keepNext/>
      <w:keepLines/>
      <w:spacing w:beforeLines="0" w:beforeAutospacing="0" w:afterLines="0" w:afterAutospacing="0" w:line="360" w:lineRule="auto"/>
      <w:outlineLvl w:val="2"/>
    </w:pPr>
    <w:rPr>
      <w:rFonts w:ascii="仿宋_GB2312" w:hAnsi="仿宋_GB2312" w:eastAsia="仿宋_GB2312"/>
      <w:b/>
      <w:sz w:val="28"/>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before="120" w:line="360" w:lineRule="auto"/>
    </w:pPr>
    <w:rPr>
      <w:rFonts w:ascii="Times New Roman" w:hAnsi="Times New Roman" w:eastAsia="宋体" w:cs="Times New Roman"/>
      <w:sz w:val="28"/>
      <w:szCs w:val="20"/>
    </w:rPr>
  </w:style>
  <w:style w:type="paragraph" w:styleId="3">
    <w:name w:val="Plain Text"/>
    <w:basedOn w:val="1"/>
    <w:qFormat/>
    <w:uiPriority w:val="0"/>
    <w:rPr>
      <w:rFonts w:ascii="宋体" w:hAnsi="Courier New"/>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qFormat/>
    <w:uiPriority w:val="0"/>
    <w:rPr>
      <w:color w:val="0000FF"/>
      <w:u w:val="single"/>
    </w:rPr>
  </w:style>
  <w:style w:type="paragraph" w:customStyle="1" w:styleId="16">
    <w:name w:val="_Style 10"/>
    <w:basedOn w:val="1"/>
    <w:qFormat/>
    <w:uiPriority w:val="0"/>
    <w:pPr>
      <w:ind w:firstLine="420" w:firstLineChars="200"/>
    </w:pPr>
    <w:rPr>
      <w:rFonts w:ascii="Calibri" w:hAnsi="Calibri"/>
    </w:rPr>
  </w:style>
  <w:style w:type="paragraph" w:customStyle="1" w:styleId="17">
    <w:name w:val="Table Paragraph"/>
    <w:basedOn w:val="1"/>
    <w:qFormat/>
    <w:uiPriority w:val="1"/>
    <w:rPr>
      <w:rFonts w:ascii="宋体" w:hAnsi="宋体" w:eastAsia="宋体" w:cs="宋体"/>
      <w:lang w:val="zh-CN" w:eastAsia="zh-CN" w:bidi="zh-CN"/>
    </w:rPr>
  </w:style>
  <w:style w:type="character" w:customStyle="1" w:styleId="18">
    <w:name w:val="标题 2 Char"/>
    <w:link w:val="5"/>
    <w:qFormat/>
    <w:uiPriority w:val="0"/>
    <w:rPr>
      <w:rFonts w:ascii="楷体_GB2312" w:hAnsi="楷体_GB2312" w:eastAsia="楷体_GB2312"/>
      <w:sz w:val="28"/>
    </w:rPr>
  </w:style>
  <w:style w:type="paragraph" w:customStyle="1" w:styleId="19">
    <w:name w:val="WPSOffice手动目录 1"/>
    <w:qFormat/>
    <w:uiPriority w:val="0"/>
    <w:pPr>
      <w:ind w:leftChars="0"/>
    </w:pPr>
    <w:rPr>
      <w:rFonts w:ascii="Times New Roman" w:hAnsi="Times New Roman" w:eastAsia="宋体" w:cs="Times New Roman"/>
      <w:sz w:val="20"/>
      <w:szCs w:val="20"/>
    </w:rPr>
  </w:style>
  <w:style w:type="paragraph" w:customStyle="1" w:styleId="20">
    <w:name w:val="WPSOffice手动目录 2"/>
    <w:qFormat/>
    <w:uiPriority w:val="0"/>
    <w:pPr>
      <w:ind w:leftChars="200"/>
    </w:pPr>
    <w:rPr>
      <w:rFonts w:ascii="Times New Roman" w:hAnsi="Times New Roman" w:eastAsia="宋体" w:cs="Times New Roman"/>
      <w:sz w:val="20"/>
      <w:szCs w:val="20"/>
    </w:rPr>
  </w:style>
  <w:style w:type="table" w:customStyle="1" w:styleId="2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54</Pages>
  <Words>26790</Words>
  <Characters>28746</Characters>
  <Lines>0</Lines>
  <Paragraphs>0</Paragraphs>
  <TotalTime>2</TotalTime>
  <ScaleCrop>false</ScaleCrop>
  <LinksUpToDate>false</LinksUpToDate>
  <CharactersWithSpaces>28870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2021-10-14T03:16:00Z</dcterms:created>
  <dc:creator>跟空气撒个娇</dc:creator>
  <cp:lastModifiedBy>待夏</cp:lastModifiedBy>
  <cp:lastPrinted>2022-05-17T01:32:00Z</cp:lastPrinted>
  <dcterms:modified xsi:type="dcterms:W3CDTF">2022-09-13T10:44:29Z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7103D5A7BF0A4CA7B2A4D418147CB00A</vt:lpwstr>
  </property>
  <property fmtid="{D5CDD505-2E9C-101B-9397-08002B2CF9AE}" pid="4" name="commondata">
    <vt:lpwstr>eyJoZGlkIjoiZGEzODMyZDcyZDEwMzlkZjk5ZGMzOWYxMzM5MDgxMDMifQ==</vt:lpwstr>
  </property>
</Properties>
</file>