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before="157" w:beforeLines="50" w:after="157" w:afterLines="5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0" w:firstLineChars="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宁武县汾河及恢河两侧山体植被修复与</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0" w:firstLineChars="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保护工程资金绩效评价报告</w:t>
      </w: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center"/>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both"/>
        <w:rPr>
          <w:rFonts w:hint="eastAsia" w:ascii="方正小标宋简体" w:hAnsi="方正小标宋简体" w:eastAsia="方正小标宋简体" w:cs="方正小标宋简体"/>
          <w:b w:val="0"/>
          <w:bCs w:val="0"/>
          <w:kern w:val="2"/>
          <w:sz w:val="44"/>
          <w:szCs w:val="44"/>
          <w:highlight w:val="none"/>
          <w:lang w:val="en-US" w:eastAsia="zh-CN" w:bidi="ar-SA"/>
        </w:rPr>
      </w:pPr>
    </w:p>
    <w:p>
      <w:pPr>
        <w:widowControl w:val="0"/>
        <w:spacing w:afterLines="0" w:afterAutospacing="0" w:line="360" w:lineRule="auto"/>
        <w:ind w:firstLine="880" w:firstLineChars="200"/>
        <w:jc w:val="both"/>
        <w:rPr>
          <w:rFonts w:hint="eastAsia" w:ascii="方正小标宋简体" w:hAnsi="方正小标宋简体" w:eastAsia="方正小标宋简体" w:cs="方正小标宋简体"/>
          <w:b w:val="0"/>
          <w:bCs w:val="0"/>
          <w:kern w:val="2"/>
          <w:sz w:val="44"/>
          <w:szCs w:val="44"/>
          <w:highlight w:val="none"/>
          <w:lang w:val="en-US" w:eastAsia="zh-CN" w:bidi="ar-SA"/>
        </w:rPr>
      </w:pPr>
    </w:p>
    <w:p>
      <w:pPr>
        <w:autoSpaceDE w:val="0"/>
        <w:autoSpaceDN w:val="0"/>
        <w:adjustRightInd w:val="0"/>
        <w:spacing w:line="600" w:lineRule="atLeast"/>
        <w:ind w:left="280" w:leftChars="100" w:firstLine="320" w:firstLineChars="100"/>
        <w:jc w:val="left"/>
        <w:rPr>
          <w:rFonts w:hint="default" w:ascii="黑体" w:hAnsi="黑体" w:eastAsia="黑体" w:cs="黑体"/>
          <w:b w:val="0"/>
          <w:bCs w:val="0"/>
          <w:kern w:val="0"/>
          <w:sz w:val="32"/>
          <w:szCs w:val="32"/>
          <w:highlight w:val="none"/>
          <w:lang w:val="en-US" w:eastAsia="zh-CN"/>
        </w:rPr>
      </w:pPr>
      <w:r>
        <w:rPr>
          <w:rFonts w:hint="eastAsia" w:ascii="黑体" w:hAnsi="黑体" w:eastAsia="黑体" w:cs="黑体"/>
          <w:b w:val="0"/>
          <w:bCs w:val="0"/>
          <w:kern w:val="0"/>
          <w:sz w:val="32"/>
          <w:szCs w:val="32"/>
          <w:highlight w:val="none"/>
          <w:lang w:val="en-US" w:eastAsia="zh-CN"/>
        </w:rPr>
        <w:t>单位名称</w:t>
      </w:r>
      <w:r>
        <w:rPr>
          <w:rFonts w:hint="eastAsia" w:ascii="黑体" w:hAnsi="黑体" w:eastAsia="黑体" w:cs="黑体"/>
          <w:b w:val="0"/>
          <w:bCs w:val="0"/>
          <w:kern w:val="0"/>
          <w:sz w:val="32"/>
          <w:szCs w:val="32"/>
          <w:highlight w:val="none"/>
        </w:rPr>
        <w:t>：</w:t>
      </w:r>
      <w:r>
        <w:rPr>
          <w:rFonts w:hint="eastAsia" w:ascii="黑体" w:hAnsi="黑体" w:eastAsia="黑体" w:cs="黑体"/>
          <w:b w:val="0"/>
          <w:bCs w:val="0"/>
          <w:kern w:val="0"/>
          <w:sz w:val="32"/>
          <w:szCs w:val="32"/>
          <w:highlight w:val="none"/>
          <w:lang w:val="en-US" w:eastAsia="zh-CN"/>
        </w:rPr>
        <w:t>宁武县林业局</w:t>
      </w:r>
    </w:p>
    <w:p>
      <w:pPr>
        <w:autoSpaceDE w:val="0"/>
        <w:autoSpaceDN w:val="0"/>
        <w:adjustRightInd w:val="0"/>
        <w:spacing w:line="600" w:lineRule="atLeast"/>
        <w:ind w:left="280" w:leftChars="100" w:firstLine="320" w:firstLineChars="100"/>
        <w:jc w:val="left"/>
        <w:rPr>
          <w:rFonts w:hint="eastAsia" w:ascii="黑体" w:hAnsi="黑体" w:eastAsia="黑体" w:cs="黑体"/>
          <w:b w:val="0"/>
          <w:bCs w:val="0"/>
          <w:kern w:val="0"/>
          <w:sz w:val="32"/>
          <w:szCs w:val="32"/>
          <w:highlight w:val="none"/>
        </w:rPr>
      </w:pPr>
      <w:r>
        <w:rPr>
          <w:rFonts w:hint="eastAsia" w:ascii="黑体" w:hAnsi="黑体" w:eastAsia="黑体" w:cs="黑体"/>
          <w:b w:val="0"/>
          <w:bCs w:val="0"/>
          <w:kern w:val="0"/>
          <w:sz w:val="32"/>
          <w:szCs w:val="32"/>
          <w:highlight w:val="none"/>
        </w:rPr>
        <w:t>委托单位：</w:t>
      </w:r>
      <w:r>
        <w:rPr>
          <w:rFonts w:hint="eastAsia" w:ascii="黑体" w:hAnsi="黑体" w:eastAsia="黑体" w:cs="黑体"/>
          <w:b w:val="0"/>
          <w:bCs w:val="0"/>
          <w:kern w:val="0"/>
          <w:sz w:val="32"/>
          <w:szCs w:val="32"/>
          <w:highlight w:val="none"/>
          <w:lang w:val="en-US" w:eastAsia="zh-CN"/>
        </w:rPr>
        <w:t>宁武县</w:t>
      </w:r>
      <w:r>
        <w:rPr>
          <w:rFonts w:hint="eastAsia" w:ascii="黑体" w:hAnsi="黑体" w:eastAsia="黑体" w:cs="黑体"/>
          <w:b w:val="0"/>
          <w:bCs w:val="0"/>
          <w:kern w:val="0"/>
          <w:sz w:val="32"/>
          <w:szCs w:val="32"/>
          <w:highlight w:val="none"/>
        </w:rPr>
        <w:t>财政局</w:t>
      </w:r>
    </w:p>
    <w:p>
      <w:pPr>
        <w:autoSpaceDE w:val="0"/>
        <w:autoSpaceDN w:val="0"/>
        <w:adjustRightInd w:val="0"/>
        <w:spacing w:line="600" w:lineRule="atLeast"/>
        <w:ind w:left="280" w:leftChars="100" w:firstLine="320" w:firstLineChars="100"/>
        <w:jc w:val="left"/>
        <w:rPr>
          <w:rFonts w:hint="eastAsia" w:ascii="黑体" w:hAnsi="黑体" w:eastAsia="黑体" w:cs="黑体"/>
          <w:b w:val="0"/>
          <w:bCs w:val="0"/>
          <w:kern w:val="0"/>
          <w:sz w:val="32"/>
          <w:szCs w:val="32"/>
          <w:highlight w:val="none"/>
        </w:rPr>
      </w:pPr>
      <w:r>
        <w:rPr>
          <w:rFonts w:hint="eastAsia" w:ascii="黑体" w:hAnsi="黑体" w:eastAsia="黑体" w:cs="黑体"/>
          <w:b w:val="0"/>
          <w:bCs w:val="0"/>
          <w:kern w:val="0"/>
          <w:sz w:val="32"/>
          <w:szCs w:val="32"/>
          <w:highlight w:val="none"/>
        </w:rPr>
        <w:t>评价机构：山西亚泰会计师事务所有限公司</w:t>
      </w:r>
    </w:p>
    <w:p>
      <w:pPr>
        <w:autoSpaceDE w:val="0"/>
        <w:autoSpaceDN w:val="0"/>
        <w:adjustRightInd w:val="0"/>
        <w:spacing w:line="600" w:lineRule="atLeast"/>
        <w:ind w:left="280" w:leftChars="100" w:firstLine="320" w:firstLineChars="100"/>
        <w:jc w:val="center"/>
        <w:rPr>
          <w:rFonts w:hint="eastAsia" w:ascii="黑体" w:hAnsi="黑体" w:eastAsia="黑体" w:cs="黑体"/>
          <w:b w:val="0"/>
          <w:bCs w:val="0"/>
          <w:kern w:val="0"/>
          <w:sz w:val="32"/>
          <w:szCs w:val="32"/>
          <w:highlight w:val="none"/>
        </w:rPr>
      </w:pPr>
    </w:p>
    <w:p>
      <w:pPr>
        <w:autoSpaceDE w:val="0"/>
        <w:autoSpaceDN w:val="0"/>
        <w:adjustRightInd w:val="0"/>
        <w:spacing w:line="600" w:lineRule="atLeast"/>
        <w:ind w:left="280" w:leftChars="100" w:firstLine="320" w:firstLineChars="100"/>
        <w:jc w:val="center"/>
        <w:rPr>
          <w:rFonts w:hint="eastAsia" w:ascii="黑体" w:hAnsi="黑体" w:eastAsia="黑体" w:cs="黑体"/>
          <w:b w:val="0"/>
          <w:bCs w:val="0"/>
          <w:color w:val="auto"/>
          <w:kern w:val="0"/>
          <w:sz w:val="32"/>
          <w:szCs w:val="32"/>
          <w:highlight w:val="none"/>
        </w:rPr>
        <w:sectPr>
          <w:headerReference r:id="rId5" w:type="default"/>
          <w:pgSz w:w="11911" w:h="16838"/>
          <w:pgMar w:top="2041" w:right="1417" w:bottom="1417" w:left="1531" w:header="720" w:footer="720" w:gutter="0"/>
          <w:pgBorders>
            <w:top w:val="none" w:sz="0" w:space="0"/>
            <w:left w:val="none" w:sz="0" w:space="0"/>
            <w:bottom w:val="none" w:sz="0" w:space="0"/>
            <w:right w:val="none" w:sz="0" w:space="0"/>
          </w:pgBorders>
          <w:pgNumType w:fmt="decimal" w:start="1"/>
          <w:cols w:space="720" w:num="1"/>
          <w:titlePg/>
          <w:rtlGutter w:val="0"/>
          <w:docGrid w:linePitch="312" w:charSpace="0"/>
        </w:sectPr>
      </w:pPr>
      <w:r>
        <w:rPr>
          <w:rFonts w:hint="eastAsia" w:ascii="黑体" w:hAnsi="黑体" w:eastAsia="黑体" w:cs="黑体"/>
          <w:b w:val="0"/>
          <w:bCs w:val="0"/>
          <w:kern w:val="0"/>
          <w:sz w:val="32"/>
          <w:szCs w:val="32"/>
          <w:highlight w:val="none"/>
        </w:rPr>
        <w:t>二〇二</w:t>
      </w:r>
      <w:r>
        <w:rPr>
          <w:rFonts w:hint="eastAsia" w:ascii="黑体" w:hAnsi="黑体" w:eastAsia="黑体" w:cs="黑体"/>
          <w:b w:val="0"/>
          <w:bCs w:val="0"/>
          <w:kern w:val="0"/>
          <w:sz w:val="32"/>
          <w:szCs w:val="32"/>
          <w:highlight w:val="none"/>
          <w:lang w:val="en-US" w:eastAsia="zh-CN"/>
        </w:rPr>
        <w:t>一</w:t>
      </w:r>
      <w:r>
        <w:rPr>
          <w:rFonts w:hint="eastAsia" w:ascii="黑体" w:hAnsi="黑体" w:eastAsia="黑体" w:cs="黑体"/>
          <w:b w:val="0"/>
          <w:bCs w:val="0"/>
          <w:kern w:val="0"/>
          <w:sz w:val="32"/>
          <w:szCs w:val="32"/>
          <w:highlight w:val="none"/>
        </w:rPr>
        <w:t>年</w:t>
      </w:r>
      <w:r>
        <w:rPr>
          <w:rFonts w:hint="eastAsia" w:ascii="黑体" w:hAnsi="黑体" w:eastAsia="黑体" w:cs="黑体"/>
          <w:b w:val="0"/>
          <w:bCs w:val="0"/>
          <w:kern w:val="0"/>
          <w:sz w:val="32"/>
          <w:szCs w:val="32"/>
          <w:highlight w:val="none"/>
          <w:lang w:val="en-US" w:eastAsia="zh-CN"/>
        </w:rPr>
        <w:t>十</w:t>
      </w:r>
      <w:r>
        <w:rPr>
          <w:rFonts w:hint="eastAsia" w:ascii="黑体" w:hAnsi="黑体" w:eastAsia="黑体" w:cs="黑体"/>
          <w:b w:val="0"/>
          <w:bCs w:val="0"/>
          <w:kern w:val="0"/>
          <w:sz w:val="32"/>
          <w:szCs w:val="32"/>
          <w:highlight w:val="none"/>
        </w:rPr>
        <w:t>月</w:t>
      </w:r>
    </w:p>
    <w:p>
      <w:pPr>
        <w:pageBreakBefore w:val="0"/>
        <w:widowControl w:val="0"/>
        <w:kinsoku/>
        <w:wordWrap/>
        <w:overflowPunct/>
        <w:topLinePunct w:val="0"/>
        <w:autoSpaceDE/>
        <w:autoSpaceDN/>
        <w:bidi w:val="0"/>
        <w:adjustRightInd w:val="0"/>
        <w:snapToGrid w:val="0"/>
        <w:ind w:leftChars="0" w:firstLine="720" w:firstLineChars="200"/>
        <w:jc w:val="center"/>
        <w:textAlignment w:val="auto"/>
        <w:rPr>
          <w:rFonts w:hint="default" w:ascii="方正小标宋简体" w:hAnsi="方正小标宋简体" w:eastAsia="方正小标宋简体" w:cs="方正小标宋简体"/>
          <w:sz w:val="36"/>
          <w:szCs w:val="36"/>
          <w:highlight w:val="none"/>
          <w:lang w:val="en-US" w:eastAsia="zh-CN"/>
        </w:rPr>
      </w:pPr>
      <w:bookmarkStart w:id="0" w:name="_Toc26886"/>
      <w:r>
        <w:rPr>
          <w:rFonts w:hint="eastAsia" w:ascii="方正小标宋简体" w:hAnsi="方正小标宋简体" w:eastAsia="方正小标宋简体" w:cs="方正小标宋简体"/>
          <w:sz w:val="36"/>
          <w:szCs w:val="36"/>
          <w:highlight w:val="none"/>
          <w:lang w:val="en-US" w:eastAsia="zh-CN"/>
        </w:rPr>
        <w:t>宁武县汾河及恢河两侧山体植被修复与保护工程绩效评价报告</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right="0" w:firstLine="560" w:firstLineChars="200"/>
        <w:jc w:val="both"/>
        <w:textAlignment w:val="auto"/>
        <w:rPr>
          <w:rFonts w:hint="eastAsia"/>
          <w:sz w:val="28"/>
          <w:szCs w:val="28"/>
          <w:highlight w:val="none"/>
          <w:lang w:val="en-US" w:eastAsia="zh-CN"/>
        </w:rPr>
      </w:pPr>
      <w:bookmarkStart w:id="1" w:name="_Toc13435"/>
      <w:bookmarkStart w:id="2" w:name="_Toc18074"/>
      <w:r>
        <w:rPr>
          <w:rFonts w:hint="eastAsia" w:ascii="仿宋_GB2312" w:hAnsi="仿宋_GB2312" w:eastAsia="仿宋_GB2312" w:cs="仿宋_GB2312"/>
          <w:kern w:val="2"/>
          <w:sz w:val="28"/>
          <w:szCs w:val="24"/>
          <w:highlight w:val="none"/>
          <w:lang w:val="zh-CN" w:eastAsia="zh-CN" w:bidi="ar-SA"/>
        </w:rPr>
        <w:t>为深入贯彻落实《中共山西省委 山西省人民政府关于全面实施预算绩效管理的实施意见》（晋发〔2018〕39号）文件精神，全面实施预算绩效管理，提高财政资源配置效率和使用效益，增强财政支出的责任和效率意识，根据《宁武县财政局关于开展2020年度项目支出绩效评价工作的通知》（宁财字〔2020〕13号），受宁武县财政局委托，山西亚泰会计师事务所有限公司于2021年6月对宁武县汾河及恢河两侧山体植被修复与保护工程进行了绩效评价，现将此次绩效评价情况报告如下。</w:t>
      </w:r>
      <w:bookmarkEnd w:id="1"/>
      <w:bookmarkEnd w:id="2"/>
    </w:p>
    <w:p>
      <w:pPr>
        <w:pStyle w:val="4"/>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rPr>
          <w:rFonts w:hint="eastAsia" w:ascii="黑体" w:hAnsi="黑体" w:eastAsia="黑体" w:cs="黑体"/>
          <w:highlight w:val="none"/>
        </w:rPr>
      </w:pPr>
      <w:r>
        <w:rPr>
          <w:rFonts w:hint="eastAsia" w:ascii="黑体" w:hAnsi="黑体" w:eastAsia="黑体" w:cs="黑体"/>
          <w:highlight w:val="none"/>
        </w:rPr>
        <w:t>一、基本情况</w:t>
      </w:r>
      <w:bookmarkEnd w:id="0"/>
    </w:p>
    <w:p>
      <w:pPr>
        <w:pStyle w:val="5"/>
        <w:bidi w:val="0"/>
        <w:rPr>
          <w:rFonts w:hint="eastAsia"/>
        </w:rPr>
      </w:pPr>
      <w:bookmarkStart w:id="3" w:name="_bookmark1"/>
      <w:bookmarkEnd w:id="3"/>
      <w:bookmarkStart w:id="4" w:name="_Toc23835"/>
      <w:r>
        <w:rPr>
          <w:rFonts w:hint="eastAsia"/>
        </w:rPr>
        <w:t>（一）</w:t>
      </w:r>
      <w:bookmarkEnd w:id="4"/>
      <w:r>
        <w:rPr>
          <w:rFonts w:hint="eastAsia"/>
        </w:rPr>
        <w:t>项目背景</w:t>
      </w:r>
    </w:p>
    <w:p>
      <w:pPr>
        <w:pStyle w:val="2"/>
        <w:pageBreakBefore w:val="0"/>
        <w:widowControl w:val="0"/>
        <w:kinsoku/>
        <w:wordWrap/>
        <w:overflowPunct/>
        <w:topLinePunct w:val="0"/>
        <w:autoSpaceDE/>
        <w:autoSpaceDN/>
        <w:bidi w:val="0"/>
        <w:adjustRightInd w:val="0"/>
        <w:snapToGrid w:val="0"/>
        <w:spacing w:after="0" w:afterLines="0" w:line="360" w:lineRule="auto"/>
        <w:ind w:left="0" w:leftChars="0" w:right="0" w:firstLine="560" w:firstLineChars="200"/>
        <w:jc w:val="both"/>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党中央、国务院高度重视生态文明建设，2013年11月，习近平总书记</w:t>
      </w:r>
      <w:r>
        <w:rPr>
          <w:rFonts w:hint="eastAsia" w:ascii="仿宋_GB2312" w:hAnsi="仿宋_GB2312" w:cs="仿宋_GB2312"/>
          <w:highlight w:val="none"/>
          <w:lang w:val="en-US" w:eastAsia="zh-CN"/>
        </w:rPr>
        <w:t>提出</w:t>
      </w:r>
      <w:r>
        <w:rPr>
          <w:rFonts w:hint="eastAsia" w:ascii="仿宋_GB2312" w:hAnsi="仿宋_GB2312" w:eastAsia="仿宋_GB2312" w:cs="仿宋_GB2312"/>
          <w:highlight w:val="none"/>
        </w:rPr>
        <w:t>“山水林田湖</w:t>
      </w:r>
      <w:r>
        <w:rPr>
          <w:rFonts w:hint="eastAsia" w:ascii="仿宋_GB2312" w:hAnsi="仿宋_GB2312" w:cs="仿宋_GB2312"/>
          <w:highlight w:val="none"/>
          <w:lang w:val="en-US" w:eastAsia="zh-CN"/>
        </w:rPr>
        <w:t>草</w:t>
      </w:r>
      <w:r>
        <w:rPr>
          <w:rFonts w:hint="eastAsia" w:ascii="仿宋_GB2312" w:hAnsi="仿宋_GB2312" w:eastAsia="仿宋_GB2312" w:cs="仿宋_GB2312"/>
          <w:highlight w:val="none"/>
        </w:rPr>
        <w:t>是一个生命共同体”的理念，创新了中国特色的人地关系思想。习近平总书记指出：“人的命脉在田，田的命脉在水，水的命脉在山，山的命脉在土，土的命脉在树”。要统筹山水林田湖草系统治理，全方位、全地域、全过程开展生态文明建设。</w:t>
      </w:r>
    </w:p>
    <w:p>
      <w:pPr>
        <w:pStyle w:val="2"/>
        <w:pageBreakBefore w:val="0"/>
        <w:widowControl w:val="0"/>
        <w:kinsoku/>
        <w:wordWrap/>
        <w:overflowPunct/>
        <w:topLinePunct w:val="0"/>
        <w:autoSpaceDE/>
        <w:autoSpaceDN/>
        <w:bidi w:val="0"/>
        <w:adjustRightInd w:val="0"/>
        <w:snapToGrid w:val="0"/>
        <w:spacing w:after="0" w:afterLines="0" w:line="360" w:lineRule="auto"/>
        <w:ind w:left="0" w:leftChars="0" w:right="0" w:firstLine="560" w:firstLineChars="200"/>
        <w:jc w:val="both"/>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2015年10月，在</w:t>
      </w:r>
      <w:r>
        <w:rPr>
          <w:rFonts w:hint="eastAsia" w:ascii="仿宋_GB2312" w:hAnsi="仿宋_GB2312" w:cs="仿宋_GB2312"/>
          <w:highlight w:val="none"/>
          <w:lang w:eastAsia="zh-CN"/>
        </w:rPr>
        <w:t>党的十八届五中全会</w:t>
      </w:r>
      <w:r>
        <w:rPr>
          <w:rFonts w:hint="eastAsia" w:ascii="仿宋_GB2312" w:hAnsi="仿宋_GB2312" w:eastAsia="仿宋_GB2312" w:cs="仿宋_GB2312"/>
          <w:highlight w:val="none"/>
        </w:rPr>
        <w:t>上党中央和国务院高度重视生态文明建设，会议提出“实施山水林田湖生态保护和修复工程，筑牢生态安全屏障，开展大规模国土绿化行动，完善天然林保护制度”。2016年9月国家财政部、原国土资源部、原环境保护部为贯彻落实党在</w:t>
      </w:r>
      <w:r>
        <w:rPr>
          <w:rFonts w:hint="eastAsia" w:ascii="仿宋_GB2312" w:hAnsi="仿宋_GB2312" w:cs="仿宋_GB2312"/>
          <w:highlight w:val="none"/>
          <w:lang w:eastAsia="zh-CN"/>
        </w:rPr>
        <w:t>党的十八届五中全会</w:t>
      </w:r>
      <w:r>
        <w:rPr>
          <w:rFonts w:hint="eastAsia" w:ascii="仿宋_GB2312" w:hAnsi="仿宋_GB2312" w:eastAsia="仿宋_GB2312" w:cs="仿宋_GB2312"/>
          <w:highlight w:val="none"/>
        </w:rPr>
        <w:t>提出的实施山水林田湖生态保护和修复工程、筑牢生态安全屏障这一精神，联合印发了《关于推进山水林田湖生态保护修复工作的通知》（财建〔2016〕725号）。文件指出各级部门首先应充分认识开展山水林田湖生态保护修复的重要意义，加快山水林田湖生态保护修复，实现格局优化、系统稳定、功能提升。山水林田湖生态保护修复工作关系国家生态文明建设和美丽中国建设进程，关系国家生态安全和中华民族永续发展。其次要积极推进山水林田湖生态保护修复工作，各地要认真学习领会并贯彻落实党中央、国务院关于开展山水林田湖生态保护修复的部署要求，坚持尊重自然、顺应自然、保护自然，以“山水林田湖是一个生命共同体”的重要理念指导开展工作，充分集成整合资金政策，对山上山下、地上地下、陆地海洋及流域上下游进行整体保护、系统修复、综合治理，真正改变治山、治水、护田各自为战的工作格局。最后要加强对地方开展山水林田湖生态保护修复的指导和支持，各地要充分认识加快推进山水林田湖生态保护修复工作的重大意义，积极行动起来，加强组织协调、健全体制机制、完善保障措施，切实抓好山水林田湖生态保护修复重大工程组织实施，推动生态环境状况持续改善，为美丽中国建设作出更大的贡献。</w:t>
      </w:r>
    </w:p>
    <w:p>
      <w:pPr>
        <w:pStyle w:val="2"/>
        <w:pageBreakBefore w:val="0"/>
        <w:widowControl w:val="0"/>
        <w:kinsoku/>
        <w:wordWrap/>
        <w:overflowPunct/>
        <w:topLinePunct w:val="0"/>
        <w:autoSpaceDE/>
        <w:autoSpaceDN/>
        <w:bidi w:val="0"/>
        <w:adjustRightInd w:val="0"/>
        <w:snapToGrid w:val="0"/>
        <w:spacing w:after="0" w:afterLines="0" w:line="360" w:lineRule="auto"/>
        <w:ind w:left="0" w:leftChars="0" w:right="0" w:firstLine="560" w:firstLineChars="200"/>
        <w:jc w:val="both"/>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2017年10月，习近平总书记在中共十九大报告中强调“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同时中共中央、国务院印发的《生态文明体制改革总体方案》中要求整合财政资金推进山水林田湖生态修复工程。</w:t>
      </w:r>
    </w:p>
    <w:p>
      <w:pPr>
        <w:pStyle w:val="2"/>
        <w:pageBreakBefore w:val="0"/>
        <w:widowControl w:val="0"/>
        <w:kinsoku/>
        <w:wordWrap/>
        <w:overflowPunct/>
        <w:topLinePunct w:val="0"/>
        <w:autoSpaceDE/>
        <w:autoSpaceDN/>
        <w:bidi w:val="0"/>
        <w:adjustRightInd w:val="0"/>
        <w:snapToGrid w:val="0"/>
        <w:spacing w:after="0" w:afterLines="0" w:line="360" w:lineRule="auto"/>
        <w:ind w:left="0" w:leftChars="0" w:right="0" w:firstLine="560" w:firstLineChars="200"/>
        <w:jc w:val="both"/>
        <w:textAlignment w:val="auto"/>
        <w:rPr>
          <w:rFonts w:hint="eastAsia" w:ascii="仿宋_GB2312" w:hAnsi="仿宋_GB2312" w:eastAsia="仿宋_GB2312" w:cs="仿宋_GB2312"/>
          <w:highlight w:val="none"/>
        </w:rPr>
      </w:pPr>
      <w:r>
        <w:rPr>
          <w:rFonts w:hint="eastAsia" w:ascii="仿宋_GB2312" w:hAnsi="仿宋_GB2312" w:eastAsia="仿宋_GB2312" w:cs="仿宋_GB2312"/>
          <w:highlight w:val="none"/>
        </w:rPr>
        <w:t>山西省省委、省政府对生态文明建设高度重视，针对山西煤长水短，水资源严重匮乏，各种要素互相叠加，互为影响，生态损害严重的现实情况，着手汾河流域生态修复治理工作，立足山水林田湖草，统筹自然生态多种要素，以兴水增绿为重点，加强生态环境治理和保护，系统推进水土保持、水污染防治、水生态保护等工作。2018年6月，山西省启动实施汾河流域生态修复、持续推进太行山吕梁山水保生态建设的基础上，全面谋划实施六河生态修复，全面打响“两山七河”为重点的生态修复攻坚战。</w:t>
      </w:r>
      <w:r>
        <w:rPr>
          <w:rFonts w:hint="eastAsia" w:ascii="仿宋_GB2312" w:hAnsi="仿宋_GB2312" w:eastAsia="仿宋_GB2312" w:cs="仿宋_GB2312"/>
          <w:highlight w:val="none"/>
          <w:lang w:eastAsia="zh-CN"/>
        </w:rPr>
        <w:t>山西省人民政府关于印发《山西省汾河中上游山水林田湖草生态保护修复工程试点实施方案（2018-2020年）》</w:t>
      </w:r>
      <w:r>
        <w:rPr>
          <w:rFonts w:hint="eastAsia" w:ascii="仿宋_GB2312" w:hAnsi="仿宋_GB2312" w:cs="仿宋_GB2312"/>
          <w:highlight w:val="none"/>
          <w:lang w:eastAsia="zh-CN"/>
        </w:rPr>
        <w:t>。</w:t>
      </w:r>
    </w:p>
    <w:p>
      <w:pPr>
        <w:pStyle w:val="3"/>
        <w:pageBreakBefore w:val="0"/>
        <w:kinsoku/>
        <w:wordWrap/>
        <w:topLinePunct w:val="0"/>
        <w:bidi w:val="0"/>
        <w:adjustRightInd w:val="0"/>
        <w:snapToGrid w:val="0"/>
        <w:jc w:val="both"/>
        <w:textAlignment w:val="auto"/>
        <w:rPr>
          <w:rFonts w:hint="eastAsia"/>
          <w:highlight w:val="none"/>
          <w:lang w:eastAsia="zh-CN"/>
        </w:rPr>
      </w:pPr>
      <w:r>
        <w:rPr>
          <w:rFonts w:hint="eastAsia" w:ascii="仿宋_GB2312" w:hAnsi="仿宋_GB2312" w:eastAsia="仿宋_GB2312" w:cs="仿宋_GB2312"/>
          <w:sz w:val="28"/>
          <w:szCs w:val="28"/>
          <w:highlight w:val="none"/>
        </w:rPr>
        <w:t>为认真贯彻落实习近平总书记视察山西重要讲话和骆惠宁书记忻州督导调研讲话精神</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全力做好</w:t>
      </w:r>
      <w:r>
        <w:rPr>
          <w:rFonts w:hint="eastAsia" w:ascii="仿宋_GB2312" w:hAnsi="仿宋_GB2312" w:cs="仿宋_GB2312"/>
          <w:sz w:val="28"/>
          <w:szCs w:val="28"/>
          <w:highlight w:val="none"/>
          <w:lang w:val="en-US" w:eastAsia="zh-CN"/>
        </w:rPr>
        <w:t>宁武县</w:t>
      </w:r>
      <w:r>
        <w:rPr>
          <w:rFonts w:hint="eastAsia" w:ascii="仿宋_GB2312" w:hAnsi="仿宋_GB2312" w:eastAsia="仿宋_GB2312" w:cs="仿宋_GB2312"/>
          <w:sz w:val="28"/>
          <w:szCs w:val="28"/>
          <w:highlight w:val="none"/>
        </w:rPr>
        <w:t>山水林田湖草生态保护修复工程试点工作</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根据</w:t>
      </w:r>
      <w:r>
        <w:rPr>
          <w:rFonts w:hint="eastAsia" w:ascii="仿宋_GB2312" w:hAnsi="仿宋_GB2312" w:eastAsia="仿宋_GB2312" w:cs="仿宋_GB2312"/>
          <w:sz w:val="28"/>
          <w:szCs w:val="28"/>
          <w:highlight w:val="none"/>
          <w:lang w:eastAsia="zh-CN"/>
        </w:rPr>
        <w:t>《山西省汾河中上游山水林田湖草生态保护修复工程试点实施方案（2018-2020年）》</w:t>
      </w:r>
      <w:r>
        <w:rPr>
          <w:rFonts w:hint="eastAsia" w:ascii="仿宋_GB2312" w:hAnsi="仿宋_GB2312" w:cs="仿宋_GB2312"/>
          <w:sz w:val="28"/>
          <w:szCs w:val="28"/>
          <w:highlight w:val="none"/>
          <w:lang w:val="en-US" w:eastAsia="zh-CN"/>
        </w:rPr>
        <w:t>和</w:t>
      </w:r>
      <w:r>
        <w:rPr>
          <w:rFonts w:hint="eastAsia" w:ascii="仿宋_GB2312" w:hAnsi="仿宋_GB2312" w:eastAsia="仿宋_GB2312" w:cs="仿宋_GB2312"/>
          <w:sz w:val="28"/>
          <w:szCs w:val="28"/>
          <w:highlight w:val="none"/>
        </w:rPr>
        <w:t>《忻州市汾河中上游山水林田湖草生态保护修复工程试点实施方案</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2018-2020)》文件精神</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rPr>
        <w:t>结合宁武实际</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lang w:eastAsia="zh-CN"/>
        </w:rPr>
        <w:t>中共宁武县委宁武县人民政府关于印发《宁武县山水林田湖草生态保护修复工程试点实施方案</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lang w:eastAsia="zh-CN"/>
        </w:rPr>
        <w:t>2018-2020年</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lang w:eastAsia="zh-CN"/>
        </w:rPr>
        <w:t>》的通知（宁发〔2019〕2号）。宁武县山水林田湖草生态保护修复工程</w:t>
      </w:r>
      <w:r>
        <w:rPr>
          <w:rFonts w:hint="eastAsia" w:ascii="仿宋_GB2312" w:hAnsi="仿宋_GB2312" w:cs="仿宋_GB2312"/>
          <w:sz w:val="28"/>
          <w:szCs w:val="28"/>
          <w:highlight w:val="none"/>
          <w:lang w:val="en-US" w:eastAsia="zh-CN"/>
        </w:rPr>
        <w:t>包括</w:t>
      </w:r>
      <w:r>
        <w:rPr>
          <w:rFonts w:hint="eastAsia" w:ascii="仿宋_GB2312" w:hAnsi="仿宋_GB2312" w:eastAsia="仿宋_GB2312" w:cs="仿宋_GB2312"/>
          <w:sz w:val="28"/>
          <w:szCs w:val="28"/>
          <w:highlight w:val="none"/>
          <w:lang w:eastAsia="zh-CN"/>
        </w:rPr>
        <w:t>宁武县天池生态保护修复工程项目区</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lang w:eastAsia="zh-CN"/>
        </w:rPr>
        <w:t>宁武县汾河流域生态保护修复工程项目区</w:t>
      </w:r>
      <w:r>
        <w:rPr>
          <w:rFonts w:hint="eastAsia" w:ascii="仿宋_GB2312" w:hAnsi="仿宋_GB2312" w:cs="仿宋_GB2312"/>
          <w:sz w:val="28"/>
          <w:szCs w:val="28"/>
          <w:highlight w:val="none"/>
          <w:lang w:eastAsia="zh-CN"/>
        </w:rPr>
        <w:t>、</w:t>
      </w:r>
      <w:r>
        <w:rPr>
          <w:rFonts w:hint="eastAsia" w:ascii="仿宋_GB2312" w:hAnsi="仿宋_GB2312" w:eastAsia="仿宋_GB2312" w:cs="仿宋_GB2312"/>
          <w:sz w:val="28"/>
          <w:szCs w:val="28"/>
          <w:highlight w:val="none"/>
          <w:lang w:eastAsia="zh-CN"/>
        </w:rPr>
        <w:t>宁武县恢河流域生态保护修复工程项目区</w:t>
      </w:r>
      <w:r>
        <w:rPr>
          <w:rFonts w:hint="eastAsia" w:ascii="仿宋_GB2312" w:hAnsi="仿宋_GB2312" w:cs="仿宋_GB2312"/>
          <w:sz w:val="28"/>
          <w:szCs w:val="28"/>
          <w:highlight w:val="none"/>
          <w:lang w:eastAsia="zh-CN"/>
        </w:rPr>
        <w:t>、</w:t>
      </w:r>
      <w:r>
        <w:rPr>
          <w:rFonts w:hint="eastAsia" w:ascii="仿宋_GB2312" w:hAnsi="仿宋_GB2312" w:cs="仿宋_GB2312"/>
          <w:sz w:val="28"/>
          <w:szCs w:val="28"/>
          <w:highlight w:val="none"/>
          <w:lang w:val="en-US" w:eastAsia="zh-CN"/>
        </w:rPr>
        <w:t>宁武县芦芽山生态保护修复工程项目区。宁武县汾河及恢河两侧山体植被修复与保护工程是</w:t>
      </w:r>
      <w:r>
        <w:rPr>
          <w:rFonts w:hint="eastAsia" w:ascii="仿宋_GB2312" w:hAnsi="仿宋_GB2312" w:eastAsia="仿宋_GB2312" w:cs="仿宋_GB2312"/>
          <w:sz w:val="28"/>
          <w:szCs w:val="28"/>
          <w:highlight w:val="none"/>
          <w:lang w:eastAsia="zh-CN"/>
        </w:rPr>
        <w:t>宁武县恢河流域生态保护修复工程项目区</w:t>
      </w:r>
      <w:r>
        <w:rPr>
          <w:rFonts w:hint="eastAsia"/>
          <w:highlight w:val="none"/>
          <w:lang w:eastAsia="zh-CN"/>
        </w:rPr>
        <w:t>子项目，</w:t>
      </w:r>
      <w:r>
        <w:rPr>
          <w:rFonts w:hint="eastAsia"/>
          <w:highlight w:val="none"/>
          <w:lang w:val="en-US" w:eastAsia="zh-CN"/>
        </w:rPr>
        <w:t>该</w:t>
      </w:r>
      <w:r>
        <w:rPr>
          <w:rFonts w:hint="eastAsia"/>
          <w:highlight w:val="none"/>
          <w:lang w:eastAsia="zh-CN"/>
        </w:rPr>
        <w:t>项目属于宁武县林业局牵头项目，建设的主要内容山体边坡治理、山上农田治理、山上林地治理三项。</w:t>
      </w:r>
    </w:p>
    <w:p>
      <w:pPr>
        <w:pStyle w:val="5"/>
        <w:bidi w:val="0"/>
        <w:rPr>
          <w:rFonts w:hint="eastAsia"/>
          <w:lang w:val="en-US" w:eastAsia="zh-CN"/>
        </w:rPr>
      </w:pPr>
      <w:r>
        <w:rPr>
          <w:rFonts w:hint="eastAsia"/>
          <w:lang w:val="en-US" w:eastAsia="zh-CN"/>
        </w:rPr>
        <w:t>（二）主要内容及实施情况</w:t>
      </w:r>
    </w:p>
    <w:p>
      <w:pPr>
        <w:pStyle w:val="3"/>
        <w:pageBreakBefore w:val="0"/>
        <w:widowControl w:val="0"/>
        <w:kinsoku/>
        <w:wordWrap/>
        <w:overflowPunct/>
        <w:topLinePunct w:val="0"/>
        <w:bidi w:val="0"/>
        <w:adjustRightInd w:val="0"/>
        <w:snapToGrid w:val="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宁武县汾河及恢河流域两侧山体植被修复与保护项目实施范围自恢河源头分水岭村起至出境口阳方口镇终</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主要建设内容土石山新造林面积1684.6</w:t>
      </w:r>
      <w:r>
        <w:rPr>
          <w:rFonts w:hint="eastAsia" w:ascii="仿宋_GB2312" w:hAnsi="仿宋_GB2312" w:cs="仿宋_GB2312"/>
          <w:sz w:val="28"/>
          <w:szCs w:val="28"/>
          <w:highlight w:val="none"/>
          <w:lang w:val="en-US" w:eastAsia="zh-CN"/>
        </w:rPr>
        <w:t>公顷</w:t>
      </w:r>
      <w:r>
        <w:rPr>
          <w:rFonts w:hint="eastAsia" w:ascii="仿宋_GB2312" w:hAnsi="仿宋_GB2312" w:eastAsia="仿宋_GB2312" w:cs="仿宋_GB2312"/>
          <w:sz w:val="28"/>
          <w:szCs w:val="28"/>
          <w:highlight w:val="none"/>
          <w:lang w:val="en-US" w:eastAsia="zh-CN"/>
        </w:rPr>
        <w:t>，灌木林提升面积213.9</w:t>
      </w:r>
      <w:r>
        <w:rPr>
          <w:rFonts w:hint="eastAsia" w:ascii="仿宋_GB2312" w:hAnsi="仿宋_GB2312" w:cs="仿宋_GB2312"/>
          <w:sz w:val="28"/>
          <w:szCs w:val="28"/>
          <w:highlight w:val="none"/>
          <w:lang w:val="en-US" w:eastAsia="zh-CN"/>
        </w:rPr>
        <w:t>公顷</w:t>
      </w:r>
      <w:r>
        <w:rPr>
          <w:rFonts w:hint="eastAsia" w:ascii="仿宋_GB2312" w:hAnsi="仿宋_GB2312" w:eastAsia="仿宋_GB2312" w:cs="仿宋_GB2312"/>
          <w:sz w:val="28"/>
          <w:szCs w:val="28"/>
          <w:highlight w:val="none"/>
          <w:lang w:val="en-US" w:eastAsia="zh-CN"/>
        </w:rPr>
        <w:t>，疏林地提升面积181.7公顷，未成林提升面积27.3</w:t>
      </w:r>
      <w:r>
        <w:rPr>
          <w:rFonts w:hint="eastAsia" w:ascii="仿宋_GB2312" w:hAnsi="仿宋_GB2312" w:cs="仿宋_GB2312"/>
          <w:sz w:val="28"/>
          <w:szCs w:val="28"/>
          <w:highlight w:val="none"/>
          <w:lang w:val="en-US" w:eastAsia="zh-CN"/>
        </w:rPr>
        <w:t>公顷；</w:t>
      </w:r>
      <w:r>
        <w:rPr>
          <w:rFonts w:hint="eastAsia" w:ascii="仿宋_GB2312" w:hAnsi="仿宋_GB2312" w:eastAsia="仿宋_GB2312" w:cs="仿宋_GB2312"/>
          <w:sz w:val="28"/>
          <w:szCs w:val="28"/>
          <w:highlight w:val="none"/>
          <w:lang w:val="en-US" w:eastAsia="zh-CN"/>
        </w:rPr>
        <w:t>林地封禁面积1684.6</w:t>
      </w:r>
      <w:r>
        <w:rPr>
          <w:rFonts w:hint="eastAsia" w:ascii="仿宋_GB2312" w:hAnsi="仿宋_GB2312" w:cs="仿宋_GB2312"/>
          <w:sz w:val="28"/>
          <w:szCs w:val="28"/>
          <w:highlight w:val="none"/>
          <w:lang w:val="en-US" w:eastAsia="zh-CN"/>
        </w:rPr>
        <w:t>公顷</w:t>
      </w:r>
      <w:r>
        <w:rPr>
          <w:rFonts w:hint="eastAsia" w:ascii="仿宋_GB2312" w:hAnsi="仿宋_GB2312" w:eastAsia="仿宋_GB2312" w:cs="仿宋_GB2312"/>
          <w:sz w:val="28"/>
          <w:szCs w:val="28"/>
          <w:highlight w:val="none"/>
          <w:lang w:val="en-US" w:eastAsia="zh-CN"/>
        </w:rPr>
        <w:t>，警示界碑19个，标志碑10个，人工围栏9356.6m</w:t>
      </w:r>
      <w:r>
        <w:rPr>
          <w:rFonts w:hint="eastAsia" w:ascii="仿宋_GB2312" w:hAnsi="仿宋_GB2312" w:cs="仿宋_GB2312"/>
          <w:sz w:val="28"/>
          <w:szCs w:val="28"/>
          <w:highlight w:val="none"/>
          <w:lang w:val="en-US" w:eastAsia="zh-CN"/>
        </w:rPr>
        <w:t>；</w:t>
      </w:r>
      <w:r>
        <w:rPr>
          <w:rFonts w:hint="eastAsia" w:ascii="仿宋_GB2312" w:hAnsi="仿宋_GB2312" w:eastAsia="仿宋_GB2312" w:cs="仿宋_GB2312"/>
          <w:sz w:val="28"/>
          <w:szCs w:val="28"/>
          <w:highlight w:val="none"/>
          <w:lang w:val="en-US" w:eastAsia="zh-CN"/>
        </w:rPr>
        <w:t>宣教广场面积2005.1</w:t>
      </w:r>
      <w:r>
        <w:rPr>
          <w:rFonts w:hint="eastAsia" w:ascii="仿宋_GB2312" w:hAnsi="仿宋_GB2312" w:cs="仿宋_GB2312"/>
          <w:sz w:val="28"/>
          <w:szCs w:val="28"/>
          <w:highlight w:val="none"/>
          <w:lang w:val="en-US" w:eastAsia="zh-CN"/>
        </w:rPr>
        <w:t>平方米；浆砌</w:t>
      </w:r>
      <w:r>
        <w:rPr>
          <w:rFonts w:hint="eastAsia" w:ascii="仿宋_GB2312" w:hAnsi="仿宋_GB2312" w:eastAsia="仿宋_GB2312" w:cs="仿宋_GB2312"/>
          <w:sz w:val="28"/>
          <w:szCs w:val="28"/>
          <w:highlight w:val="none"/>
          <w:lang w:val="en-US" w:eastAsia="zh-CN"/>
        </w:rPr>
        <w:t>石护坡6191</w:t>
      </w:r>
      <w:r>
        <w:rPr>
          <w:rFonts w:hint="eastAsia" w:ascii="仿宋_GB2312" w:hAnsi="仿宋_GB2312" w:cs="仿宋_GB2312"/>
          <w:sz w:val="28"/>
          <w:szCs w:val="28"/>
          <w:highlight w:val="none"/>
          <w:lang w:val="en-US" w:eastAsia="zh-CN"/>
        </w:rPr>
        <w:t>平方米</w:t>
      </w:r>
      <w:r>
        <w:rPr>
          <w:rFonts w:hint="eastAsia" w:ascii="仿宋_GB2312" w:hAnsi="仿宋_GB2312" w:eastAsia="仿宋_GB2312" w:cs="仿宋_GB2312"/>
          <w:sz w:val="28"/>
          <w:szCs w:val="28"/>
          <w:highlight w:val="none"/>
          <w:lang w:val="en-US" w:eastAsia="zh-CN"/>
        </w:rPr>
        <w:t>，架设防护网4000</w:t>
      </w:r>
      <w:r>
        <w:rPr>
          <w:rFonts w:hint="eastAsia" w:ascii="仿宋_GB2312" w:hAnsi="仿宋_GB2312" w:cs="仿宋_GB2312"/>
          <w:sz w:val="28"/>
          <w:szCs w:val="28"/>
          <w:highlight w:val="none"/>
          <w:lang w:val="en-US" w:eastAsia="zh-CN"/>
        </w:rPr>
        <w:t>平方米</w:t>
      </w:r>
      <w:r>
        <w:rPr>
          <w:rFonts w:hint="eastAsia" w:ascii="仿宋_GB2312" w:hAnsi="仿宋_GB2312" w:eastAsia="仿宋_GB2312" w:cs="仿宋_GB2312"/>
          <w:sz w:val="28"/>
          <w:szCs w:val="28"/>
          <w:highlight w:val="none"/>
          <w:lang w:val="en-US" w:eastAsia="zh-CN"/>
        </w:rPr>
        <w:t>。目前项目主体工程已完成70%，预计于</w:t>
      </w:r>
      <w:r>
        <w:rPr>
          <w:rFonts w:hint="eastAsia" w:ascii="仿宋_GB2312" w:hAnsi="仿宋_GB2312" w:cs="仿宋_GB2312"/>
          <w:sz w:val="28"/>
          <w:szCs w:val="28"/>
          <w:highlight w:val="none"/>
          <w:lang w:val="en-US" w:eastAsia="zh-CN"/>
        </w:rPr>
        <w:t>2021年6</w:t>
      </w:r>
      <w:r>
        <w:rPr>
          <w:rFonts w:hint="eastAsia" w:ascii="仿宋_GB2312" w:hAnsi="仿宋_GB2312" w:eastAsia="仿宋_GB2312" w:cs="仿宋_GB2312"/>
          <w:sz w:val="28"/>
          <w:szCs w:val="28"/>
          <w:highlight w:val="none"/>
          <w:lang w:val="en-US" w:eastAsia="zh-CN"/>
        </w:rPr>
        <w:t>月底可全部完工。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1"/>
        <w:rPr>
          <w:rFonts w:hint="eastAsia" w:ascii="仿宋_GB2312" w:hAnsi="仿宋_GB2312" w:eastAsia="仿宋_GB2312" w:cs="仿宋_GB2312"/>
          <w:b/>
          <w:bCs/>
          <w:i w:val="0"/>
          <w:iCs w:val="0"/>
          <w:caps w:val="0"/>
          <w:color w:val="000000"/>
          <w:spacing w:val="0"/>
          <w:kern w:val="0"/>
          <w:sz w:val="28"/>
          <w:szCs w:val="28"/>
          <w:highlight w:val="none"/>
          <w:lang w:val="en-US" w:eastAsia="zh-CN" w:bidi="ar"/>
        </w:rPr>
      </w:pPr>
      <w:bookmarkStart w:id="5" w:name="_Toc31281"/>
      <w:bookmarkStart w:id="6" w:name="_Toc4950"/>
      <w:r>
        <w:rPr>
          <w:rFonts w:hint="eastAsia" w:ascii="楷体_GB2312" w:hAnsi="楷体_GB2312" w:eastAsia="楷体_GB2312" w:cs="楷体_GB2312"/>
          <w:i w:val="0"/>
          <w:iCs w:val="0"/>
          <w:caps w:val="0"/>
          <w:color w:val="000000"/>
          <w:spacing w:val="0"/>
          <w:kern w:val="0"/>
          <w:sz w:val="28"/>
          <w:szCs w:val="28"/>
          <w:highlight w:val="none"/>
          <w:lang w:val="en-US" w:eastAsia="zh-CN" w:bidi="ar"/>
        </w:rPr>
        <w:t>（三）项目资金投入和使用情况</w:t>
      </w:r>
      <w:bookmarkEnd w:id="5"/>
      <w:bookmarkEnd w:id="6"/>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ind w:leftChars="0" w:firstLine="562" w:firstLineChars="200"/>
        <w:jc w:val="both"/>
        <w:textAlignment w:val="auto"/>
        <w:outlineLvl w:val="2"/>
        <w:rPr>
          <w:rFonts w:hint="default"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1.资金投入</w:t>
      </w:r>
      <w:r>
        <w:rPr>
          <w:rFonts w:hint="eastAsia" w:ascii="仿宋_GB2312" w:hAnsi="仿宋_GB2312" w:cs="仿宋_GB2312"/>
          <w:b/>
          <w:bCs/>
          <w:sz w:val="28"/>
          <w:szCs w:val="28"/>
          <w:highlight w:val="none"/>
          <w:lang w:val="en-US" w:eastAsia="zh-CN"/>
        </w:rPr>
        <w:t>情况</w:t>
      </w:r>
    </w:p>
    <w:p>
      <w:pPr>
        <w:keepNext w:val="0"/>
        <w:keepLines w:val="0"/>
        <w:pageBreakBefore w:val="0"/>
        <w:widowControl w:val="0"/>
        <w:kinsoku/>
        <w:wordWrap/>
        <w:topLinePunct w:val="0"/>
        <w:autoSpaceDE/>
        <w:autoSpaceDN/>
        <w:bidi w:val="0"/>
        <w:adjustRightInd w:val="0"/>
        <w:snapToGrid w:val="0"/>
        <w:ind w:left="0" w:leftChars="0" w:firstLine="560" w:firstLineChars="200"/>
        <w:jc w:val="both"/>
        <w:textAlignment w:val="auto"/>
        <w:rPr>
          <w:rFonts w:hint="eastAsia" w:ascii="仿宋_GB2312" w:hAnsi="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根据宁武县行政审批服务管理局对项目初步设计批复文件，宁武县汾河及恢河流域两侧山体植被恢复与保护项目2020年度批复投资额9464.99万元</w:t>
      </w:r>
      <w:r>
        <w:rPr>
          <w:rFonts w:hint="eastAsia" w:ascii="仿宋_GB2312" w:hAnsi="仿宋_GB2312" w:cs="仿宋_GB2312"/>
          <w:b w:val="0"/>
          <w:bCs w:val="0"/>
          <w:sz w:val="28"/>
          <w:szCs w:val="28"/>
          <w:highlight w:val="none"/>
          <w:lang w:val="en-US" w:eastAsia="zh-CN"/>
        </w:rPr>
        <w:t>。</w:t>
      </w:r>
    </w:p>
    <w:p>
      <w:pPr>
        <w:keepNext w:val="0"/>
        <w:keepLines w:val="0"/>
        <w:pageBreakBefore w:val="0"/>
        <w:widowControl w:val="0"/>
        <w:kinsoku/>
        <w:wordWrap/>
        <w:topLinePunct w:val="0"/>
        <w:autoSpaceDE/>
        <w:autoSpaceDN/>
        <w:bidi w:val="0"/>
        <w:adjustRightInd w:val="0"/>
        <w:snapToGrid w:val="0"/>
        <w:ind w:left="0" w:leftChars="0" w:firstLine="560" w:firstLineChars="200"/>
        <w:jc w:val="both"/>
        <w:textAlignment w:val="auto"/>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2020年10月，忻州市财政局关于下达《2020年第四批政府债券资金及支出预算》（忻财债〔2020〕30号）的通知，下达宁武县第四批政府债券资金19000万元用于山水林田湖草项目，其中用于宁武县汾河及恢河流域两侧山体植被恢复与保护项目2191.835万元。</w:t>
      </w:r>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ind w:leftChars="0" w:firstLine="562" w:firstLineChars="200"/>
        <w:jc w:val="both"/>
        <w:textAlignment w:val="auto"/>
        <w:outlineLvl w:val="2"/>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2</w:t>
      </w:r>
      <w:r>
        <w:rPr>
          <w:rFonts w:hint="eastAsia" w:ascii="仿宋_GB2312" w:hAnsi="仿宋_GB2312" w:cs="仿宋_GB2312"/>
          <w:b/>
          <w:bCs/>
          <w:sz w:val="28"/>
          <w:szCs w:val="28"/>
          <w:highlight w:val="none"/>
          <w:lang w:val="en-US" w:eastAsia="zh-CN"/>
        </w:rPr>
        <w:t>.资金</w:t>
      </w:r>
      <w:r>
        <w:rPr>
          <w:rFonts w:hint="eastAsia" w:ascii="仿宋_GB2312" w:hAnsi="仿宋_GB2312" w:eastAsia="仿宋_GB2312" w:cs="仿宋_GB2312"/>
          <w:b/>
          <w:bCs/>
          <w:sz w:val="28"/>
          <w:szCs w:val="28"/>
          <w:highlight w:val="none"/>
          <w:lang w:val="en-US" w:eastAsia="zh-CN"/>
        </w:rPr>
        <w:t>使用情况</w:t>
      </w:r>
    </w:p>
    <w:p>
      <w:pPr>
        <w:pStyle w:val="2"/>
        <w:keepNext w:val="0"/>
        <w:keepLines w:val="0"/>
        <w:pageBreakBefore w:val="0"/>
        <w:widowControl w:val="0"/>
        <w:kinsoku/>
        <w:wordWrap/>
        <w:overflowPunct/>
        <w:topLinePunct w:val="0"/>
        <w:autoSpaceDE/>
        <w:autoSpaceDN/>
        <w:bidi w:val="0"/>
        <w:adjustRightInd w:val="0"/>
        <w:snapToGrid w:val="0"/>
        <w:spacing w:after="0" w:afterLines="0"/>
        <w:ind w:left="0" w:leftChars="0" w:firstLine="560" w:firstLineChars="200"/>
        <w:jc w:val="both"/>
        <w:textAlignment w:val="auto"/>
        <w:rPr>
          <w:rFonts w:hint="eastAsia" w:ascii="仿宋_GB2312" w:hAnsi="仿宋_GB2312" w:eastAsia="仿宋_GB2312" w:cs="仿宋_GB2312"/>
          <w:spacing w:val="-17"/>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2020年度汾河及恢河流域两侧山体植被恢复与保护项目实际支出2191.835万元，无结余，预算执行率100%。</w:t>
      </w:r>
    </w:p>
    <w:p>
      <w:pPr>
        <w:pStyle w:val="5"/>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rPr>
          <w:rFonts w:hint="eastAsia" w:cs="Times New Roman"/>
          <w:highlight w:val="none"/>
          <w:lang w:val="en-US" w:eastAsia="zh-CN"/>
        </w:rPr>
      </w:pPr>
      <w:bookmarkStart w:id="7" w:name="_Toc21220"/>
      <w:r>
        <w:rPr>
          <w:rFonts w:hint="eastAsia" w:ascii="楷体_GB2312" w:hAnsi="楷体_GB2312" w:eastAsia="楷体_GB2312" w:cs="楷体_GB2312"/>
          <w:sz w:val="28"/>
          <w:szCs w:val="28"/>
          <w:highlight w:val="none"/>
          <w:lang w:val="en-US" w:eastAsia="zh-CN"/>
        </w:rPr>
        <w:t>（</w:t>
      </w:r>
      <w:r>
        <w:rPr>
          <w:rFonts w:hint="eastAsia" w:ascii="楷体_GB2312" w:hAnsi="楷体_GB2312" w:cs="楷体_GB2312"/>
          <w:sz w:val="28"/>
          <w:szCs w:val="28"/>
          <w:highlight w:val="none"/>
          <w:lang w:val="en-US" w:eastAsia="zh-CN"/>
        </w:rPr>
        <w:t>四</w:t>
      </w:r>
      <w:r>
        <w:rPr>
          <w:rFonts w:hint="eastAsia" w:ascii="楷体_GB2312" w:hAnsi="楷体_GB2312" w:eastAsia="楷体_GB2312" w:cs="楷体_GB2312"/>
          <w:sz w:val="28"/>
          <w:szCs w:val="28"/>
          <w:highlight w:val="none"/>
          <w:lang w:val="en-US" w:eastAsia="zh-CN"/>
        </w:rPr>
        <w:t>）</w:t>
      </w:r>
      <w:r>
        <w:rPr>
          <w:rFonts w:hint="eastAsia" w:ascii="楷体_GB2312" w:hAnsi="楷体_GB2312" w:cs="楷体_GB2312"/>
          <w:sz w:val="28"/>
          <w:szCs w:val="28"/>
          <w:highlight w:val="none"/>
          <w:lang w:val="en-US" w:eastAsia="zh-CN"/>
        </w:rPr>
        <w:t>项目</w:t>
      </w:r>
      <w:r>
        <w:rPr>
          <w:rFonts w:hint="eastAsia" w:ascii="楷体_GB2312" w:hAnsi="楷体_GB2312" w:eastAsia="楷体_GB2312" w:cs="楷体_GB2312"/>
          <w:sz w:val="28"/>
          <w:szCs w:val="28"/>
          <w:highlight w:val="none"/>
          <w:lang w:val="en-US" w:eastAsia="zh-CN"/>
        </w:rPr>
        <w:t>绩效目标</w:t>
      </w:r>
      <w:bookmarkEnd w:id="7"/>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ind w:leftChars="0" w:firstLine="562" w:firstLineChars="200"/>
        <w:jc w:val="both"/>
        <w:textAlignment w:val="auto"/>
        <w:outlineLvl w:val="2"/>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1.总体目标</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通过对恢河两侧山体进行加固、绿化，农田土地整理，提升恢河两侧森林质量，提高森林生态防护效能，改善项目区内水土流失的情况，促进治理区内生态恢复，美化环境，形成区域“小气候”，呈现人水和谐新景象，提升了新型城镇文化品味。</w:t>
      </w:r>
    </w:p>
    <w:p>
      <w:pPr>
        <w:pStyle w:val="2"/>
        <w:keepNext w:val="0"/>
        <w:keepLines w:val="0"/>
        <w:pageBreakBefore w:val="0"/>
        <w:widowControl w:val="0"/>
        <w:numPr>
          <w:ilvl w:val="0"/>
          <w:numId w:val="0"/>
        </w:numPr>
        <w:kinsoku/>
        <w:wordWrap/>
        <w:overflowPunct w:val="0"/>
        <w:topLinePunct w:val="0"/>
        <w:autoSpaceDE/>
        <w:autoSpaceDN/>
        <w:bidi w:val="0"/>
        <w:adjustRightInd w:val="0"/>
        <w:snapToGrid w:val="0"/>
        <w:spacing w:after="0" w:afterLines="0"/>
        <w:ind w:leftChars="0" w:firstLine="562" w:firstLineChars="200"/>
        <w:jc w:val="both"/>
        <w:textAlignment w:val="auto"/>
        <w:outlineLvl w:val="2"/>
        <w:rPr>
          <w:rFonts w:hint="eastAsia" w:ascii="仿宋_GB2312" w:hAnsi="仿宋_GB2312" w:eastAsia="仿宋_GB2312" w:cs="仿宋_GB2312"/>
          <w:b/>
          <w:bCs/>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2.具体目标</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（1）土石山新造林1684.6公顷，灌木林提升213.9公顷，疏林地提升181.7公顷，未成林提升27.3公顷</w:t>
      </w:r>
      <w:r>
        <w:rPr>
          <w:rFonts w:hint="eastAsia" w:ascii="仿宋_GB2312" w:hAnsi="仿宋_GB2312" w:cs="仿宋_GB2312"/>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（2）林地封禁1684.6公顷；</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（3）警示界碑19个，标志碑10个，人工围栏9356.6m；</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（4）宣教广场面积2005.1</w:t>
      </w:r>
      <w:r>
        <w:rPr>
          <w:rFonts w:hint="eastAsia" w:ascii="仿宋_GB2312" w:hAnsi="仿宋_GB2312" w:cs="仿宋_GB2312"/>
          <w:sz w:val="28"/>
          <w:szCs w:val="28"/>
          <w:highlight w:val="none"/>
          <w:lang w:val="en-US" w:eastAsia="zh-CN"/>
        </w:rPr>
        <w:t>平方米</w:t>
      </w:r>
      <w:r>
        <w:rPr>
          <w:rFonts w:hint="eastAsia" w:ascii="仿宋_GB2312" w:hAnsi="仿宋_GB2312" w:eastAsia="仿宋_GB2312" w:cs="仿宋_GB2312"/>
          <w:sz w:val="28"/>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（5）浆砌石护坡6191</w:t>
      </w:r>
      <w:r>
        <w:rPr>
          <w:rFonts w:hint="eastAsia" w:ascii="仿宋_GB2312" w:hAnsi="仿宋_GB2312" w:cs="仿宋_GB2312"/>
          <w:sz w:val="28"/>
          <w:szCs w:val="28"/>
          <w:highlight w:val="none"/>
          <w:lang w:val="en-US" w:eastAsia="zh-CN"/>
        </w:rPr>
        <w:t>平方米</w:t>
      </w:r>
      <w:r>
        <w:rPr>
          <w:rFonts w:hint="eastAsia" w:ascii="仿宋_GB2312" w:hAnsi="仿宋_GB2312" w:eastAsia="仿宋_GB2312" w:cs="仿宋_GB2312"/>
          <w:sz w:val="28"/>
          <w:szCs w:val="28"/>
          <w:highlight w:val="none"/>
          <w:lang w:val="en-US" w:eastAsia="zh-CN"/>
        </w:rPr>
        <w:t>，架设防护网4000</w:t>
      </w:r>
      <w:r>
        <w:rPr>
          <w:rFonts w:hint="eastAsia" w:ascii="仿宋_GB2312" w:hAnsi="仿宋_GB2312" w:cs="仿宋_GB2312"/>
          <w:sz w:val="28"/>
          <w:szCs w:val="28"/>
          <w:highlight w:val="none"/>
          <w:lang w:val="en-US" w:eastAsia="zh-CN"/>
        </w:rPr>
        <w:t>平方米；</w:t>
      </w:r>
    </w:p>
    <w:p>
      <w:pPr>
        <w:pStyle w:val="2"/>
        <w:pageBreakBefore w:val="0"/>
        <w:kinsoku/>
        <w:wordWrap/>
        <w:overflowPunct/>
        <w:topLinePunct w:val="0"/>
        <w:autoSpaceDE/>
        <w:autoSpaceDN/>
        <w:bidi w:val="0"/>
        <w:adjustRightInd w:val="0"/>
        <w:snapToGrid w:val="0"/>
        <w:spacing w:after="0" w:afterLines="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（6）以上建设内容按照批复时间建设完成，并及时组织验收，验收合格率达到100%；</w:t>
      </w:r>
    </w:p>
    <w:p>
      <w:pPr>
        <w:pStyle w:val="2"/>
        <w:pageBreakBefore w:val="0"/>
        <w:kinsoku/>
        <w:wordWrap/>
        <w:overflowPunct/>
        <w:topLinePunct w:val="0"/>
        <w:autoSpaceDE/>
        <w:autoSpaceDN/>
        <w:bidi w:val="0"/>
        <w:adjustRightInd w:val="0"/>
        <w:snapToGrid w:val="0"/>
        <w:spacing w:after="0" w:afterLines="0"/>
        <w:jc w:val="both"/>
        <w:textAlignment w:val="auto"/>
        <w:rPr>
          <w:rFonts w:hint="eastAsia" w:ascii="仿宋_GB2312" w:hAnsi="仿宋_GB2312" w:eastAsia="仿宋_GB2312" w:cs="仿宋_GB2312"/>
          <w:highlight w:val="none"/>
          <w:lang w:val="en-US" w:eastAsia="zh-CN"/>
        </w:rPr>
      </w:pPr>
      <w:r>
        <w:rPr>
          <w:rFonts w:hint="eastAsia" w:ascii="仿宋_GB2312" w:hAnsi="仿宋_GB2312" w:eastAsia="仿宋_GB2312" w:cs="仿宋_GB2312"/>
          <w:sz w:val="28"/>
          <w:szCs w:val="28"/>
          <w:highlight w:val="none"/>
          <w:lang w:val="en-US" w:eastAsia="zh-CN"/>
        </w:rPr>
        <w:t>（7）项目的实施过程符合相关程序且能够达到质量控制标准（树木成活率高于85%）；</w:t>
      </w:r>
    </w:p>
    <w:p>
      <w:pPr>
        <w:keepNext w:val="0"/>
        <w:keepLines w:val="0"/>
        <w:pageBreakBefore w:val="0"/>
        <w:widowControl w:val="0"/>
        <w:kinsoku/>
        <w:wordWrap/>
        <w:overflowPunct/>
        <w:topLinePunct w:val="0"/>
        <w:autoSpaceDE/>
        <w:autoSpaceDN/>
        <w:bidi w:val="0"/>
        <w:adjustRightInd w:val="0"/>
        <w:snapToGrid w:val="0"/>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（8）森林覆盖率力争达到30%;</w:t>
      </w:r>
    </w:p>
    <w:p>
      <w:pPr>
        <w:pStyle w:val="2"/>
        <w:pageBreakBefore w:val="0"/>
        <w:kinsoku/>
        <w:wordWrap/>
        <w:overflowPunct/>
        <w:topLinePunct w:val="0"/>
        <w:autoSpaceDE/>
        <w:autoSpaceDN/>
        <w:bidi w:val="0"/>
        <w:adjustRightInd w:val="0"/>
        <w:snapToGrid w:val="0"/>
        <w:spacing w:after="0" w:afterLines="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（9）水土流失治理率达到63%以上</w:t>
      </w:r>
      <w:r>
        <w:rPr>
          <w:rFonts w:hint="eastAsia" w:ascii="仿宋_GB2312" w:hAnsi="仿宋_GB2312" w:cs="仿宋_GB2312"/>
          <w:sz w:val="28"/>
          <w:szCs w:val="28"/>
          <w:highlight w:val="none"/>
          <w:lang w:val="en-US" w:eastAsia="zh-CN"/>
        </w:rPr>
        <w:t>；</w:t>
      </w:r>
    </w:p>
    <w:p>
      <w:pPr>
        <w:pStyle w:val="2"/>
        <w:pageBreakBefore w:val="0"/>
        <w:kinsoku/>
        <w:wordWrap/>
        <w:overflowPunct/>
        <w:topLinePunct w:val="0"/>
        <w:autoSpaceDE/>
        <w:autoSpaceDN/>
        <w:bidi w:val="0"/>
        <w:adjustRightInd w:val="0"/>
        <w:snapToGrid w:val="0"/>
        <w:spacing w:after="0" w:afterLines="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（1</w:t>
      </w:r>
      <w:r>
        <w:rPr>
          <w:rFonts w:hint="eastAsia" w:ascii="仿宋_GB2312" w:hAnsi="仿宋_GB2312" w:cs="仿宋_GB2312"/>
          <w:sz w:val="28"/>
          <w:szCs w:val="28"/>
          <w:highlight w:val="none"/>
          <w:lang w:val="en-US" w:eastAsia="zh-CN"/>
        </w:rPr>
        <w:t>0</w:t>
      </w:r>
      <w:r>
        <w:rPr>
          <w:rFonts w:hint="eastAsia" w:ascii="仿宋_GB2312" w:hAnsi="仿宋_GB2312" w:eastAsia="仿宋_GB2312" w:cs="仿宋_GB2312"/>
          <w:sz w:val="28"/>
          <w:szCs w:val="28"/>
          <w:highlight w:val="none"/>
          <w:lang w:val="en-US" w:eastAsia="zh-CN"/>
        </w:rPr>
        <w:t>）汾河源头水源涵养能力进一步提升；</w:t>
      </w:r>
    </w:p>
    <w:p>
      <w:pPr>
        <w:pStyle w:val="2"/>
        <w:pageBreakBefore w:val="0"/>
        <w:kinsoku/>
        <w:wordWrap/>
        <w:overflowPunct/>
        <w:topLinePunct w:val="0"/>
        <w:autoSpaceDE/>
        <w:autoSpaceDN/>
        <w:bidi w:val="0"/>
        <w:adjustRightInd w:val="0"/>
        <w:snapToGrid w:val="0"/>
        <w:spacing w:after="0" w:afterLines="0"/>
        <w:jc w:val="both"/>
        <w:textAlignment w:val="auto"/>
        <w:rPr>
          <w:rFonts w:hint="eastAsia"/>
          <w:highlight w:val="none"/>
          <w:lang w:val="en-US" w:eastAsia="zh-CN"/>
        </w:rPr>
      </w:pPr>
      <w:r>
        <w:rPr>
          <w:rFonts w:hint="eastAsia" w:ascii="仿宋_GB2312" w:hAnsi="仿宋_GB2312" w:eastAsia="仿宋_GB2312" w:cs="仿宋_GB2312"/>
          <w:highlight w:val="none"/>
          <w:lang w:val="en-US" w:eastAsia="zh-CN"/>
        </w:rPr>
        <w:t>（1</w:t>
      </w:r>
      <w:r>
        <w:rPr>
          <w:rFonts w:hint="eastAsia" w:ascii="仿宋_GB2312" w:hAnsi="仿宋_GB2312" w:cs="仿宋_GB2312"/>
          <w:highlight w:val="none"/>
          <w:lang w:val="en-US" w:eastAsia="zh-CN"/>
        </w:rPr>
        <w:t>1</w:t>
      </w:r>
      <w:r>
        <w:rPr>
          <w:rFonts w:hint="eastAsia" w:ascii="仿宋_GB2312" w:hAnsi="仿宋_GB2312" w:eastAsia="仿宋_GB2312" w:cs="仿宋_GB2312"/>
          <w:highlight w:val="none"/>
          <w:lang w:val="en-US" w:eastAsia="zh-CN"/>
        </w:rPr>
        <w:t>）项目区沿线群众满意度达90%以上（含90%）。</w:t>
      </w:r>
    </w:p>
    <w:p>
      <w:pPr>
        <w:pageBreakBefore w:val="0"/>
        <w:kinsoku/>
        <w:wordWrap/>
        <w:overflowPunct w:val="0"/>
        <w:topLinePunct w:val="0"/>
        <w:autoSpaceDE/>
        <w:autoSpaceDN/>
        <w:bidi w:val="0"/>
        <w:adjustRightInd w:val="0"/>
        <w:snapToGrid w:val="0"/>
        <w:spacing w:line="360" w:lineRule="auto"/>
        <w:ind w:firstLine="560" w:firstLineChars="200"/>
        <w:jc w:val="both"/>
        <w:textAlignment w:val="auto"/>
        <w:outlineLvl w:val="0"/>
        <w:rPr>
          <w:rFonts w:hint="eastAsia" w:ascii="黑体" w:hAnsi="黑体" w:eastAsia="黑体" w:cs="黑体"/>
          <w:b w:val="0"/>
          <w:bCs/>
          <w:sz w:val="28"/>
          <w:szCs w:val="28"/>
          <w:highlight w:val="none"/>
        </w:rPr>
      </w:pPr>
      <w:bookmarkStart w:id="8" w:name="_Toc7989862"/>
      <w:bookmarkStart w:id="9" w:name="_Toc512610831"/>
      <w:bookmarkStart w:id="10" w:name="_Toc13880"/>
      <w:bookmarkStart w:id="11" w:name="_Toc18260"/>
      <w:bookmarkStart w:id="12" w:name="_Toc13146608"/>
      <w:bookmarkStart w:id="13" w:name="_Toc24681"/>
      <w:r>
        <w:rPr>
          <w:rFonts w:hint="eastAsia" w:ascii="黑体" w:hAnsi="黑体" w:eastAsia="黑体" w:cs="黑体"/>
          <w:b w:val="0"/>
          <w:bCs/>
          <w:sz w:val="28"/>
          <w:szCs w:val="28"/>
          <w:highlight w:val="none"/>
        </w:rPr>
        <w:t>二、</w:t>
      </w:r>
      <w:bookmarkEnd w:id="8"/>
      <w:bookmarkEnd w:id="9"/>
      <w:r>
        <w:rPr>
          <w:rFonts w:hint="eastAsia" w:ascii="黑体" w:hAnsi="黑体" w:eastAsia="黑体" w:cs="黑体"/>
          <w:b w:val="0"/>
          <w:bCs/>
          <w:sz w:val="28"/>
          <w:szCs w:val="28"/>
          <w:highlight w:val="none"/>
        </w:rPr>
        <w:t>绩效评价工作情况</w:t>
      </w:r>
      <w:bookmarkEnd w:id="10"/>
      <w:bookmarkEnd w:id="11"/>
      <w:bookmarkEnd w:id="12"/>
      <w:bookmarkEnd w:id="13"/>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14" w:name="_Toc16873"/>
      <w:bookmarkStart w:id="15" w:name="_Toc14970"/>
      <w:bookmarkStart w:id="16" w:name="_Toc31341"/>
      <w:bookmarkStart w:id="17" w:name="_Toc478814018"/>
      <w:bookmarkStart w:id="18" w:name="_Toc512610832"/>
      <w:bookmarkStart w:id="19" w:name="_Toc485130613"/>
      <w:bookmarkStart w:id="20" w:name="_Toc22836"/>
      <w:bookmarkStart w:id="21" w:name="_Toc25428"/>
      <w:bookmarkStart w:id="22" w:name="_Toc23772"/>
      <w:bookmarkStart w:id="23" w:name="_Toc13146609"/>
      <w:bookmarkStart w:id="24" w:name="_Toc7989863"/>
      <w:r>
        <w:rPr>
          <w:rFonts w:hint="eastAsia" w:ascii="楷体_GB2312" w:hAnsi="楷体_GB2312" w:eastAsia="楷体_GB2312" w:cs="楷体_GB2312"/>
          <w:i w:val="0"/>
          <w:iCs w:val="0"/>
          <w:caps w:val="0"/>
          <w:color w:val="000000"/>
          <w:spacing w:val="0"/>
          <w:kern w:val="0"/>
          <w:sz w:val="28"/>
          <w:szCs w:val="28"/>
          <w:highlight w:val="none"/>
          <w:lang w:val="en-US" w:eastAsia="zh-CN" w:bidi="ar"/>
        </w:rPr>
        <w:t>（一）评价目的</w:t>
      </w:r>
      <w:bookmarkEnd w:id="14"/>
      <w:bookmarkEnd w:id="15"/>
      <w:bookmarkEnd w:id="16"/>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000000"/>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本次绩效评价依据</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《宁武县财政局关于开展2020年度项目支出绩效评价工作的通知》（宁财字〔2020〕13号）</w:t>
      </w:r>
      <w:r>
        <w:rPr>
          <w:rFonts w:hint="eastAsia" w:ascii="仿宋_GB2312" w:hAnsi="仿宋_GB2312" w:eastAsia="仿宋_GB2312" w:cs="仿宋_GB2312"/>
          <w:i w:val="0"/>
          <w:iCs w:val="0"/>
          <w:caps w:val="0"/>
          <w:color w:val="auto"/>
          <w:spacing w:val="0"/>
          <w:kern w:val="0"/>
          <w:sz w:val="28"/>
          <w:szCs w:val="28"/>
          <w:highlight w:val="none"/>
          <w:lang w:val="en-US" w:eastAsia="zh-CN" w:bidi="ar"/>
        </w:rPr>
        <w:t>，对宁武县汾河及恢河两侧山体植被修复与保护工程进行绩效评价。通过预算绩效评价，及时发现问题，总结经验，提出改进意见；一是为政府相关决策及下一年度预算安排提供依据；二是为林业局</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掌握项目动态、优化项目信息反馈机制、加强项目监管，进一步修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改完善宁武县汾河及恢河两侧山体植被修复与保护工程提供参考。</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25" w:name="_Toc14905"/>
      <w:bookmarkStart w:id="26" w:name="_Toc13760"/>
      <w:bookmarkStart w:id="27" w:name="_Toc27324"/>
      <w:r>
        <w:rPr>
          <w:rFonts w:hint="eastAsia" w:ascii="楷体_GB2312" w:hAnsi="楷体_GB2312" w:eastAsia="楷体_GB2312" w:cs="楷体_GB2312"/>
          <w:i w:val="0"/>
          <w:iCs w:val="0"/>
          <w:caps w:val="0"/>
          <w:color w:val="000000"/>
          <w:spacing w:val="0"/>
          <w:kern w:val="0"/>
          <w:sz w:val="28"/>
          <w:szCs w:val="28"/>
          <w:highlight w:val="none"/>
          <w:lang w:val="en-US" w:eastAsia="zh-CN" w:bidi="ar"/>
        </w:rPr>
        <w:t>（二）评价对象和范围</w:t>
      </w:r>
      <w:bookmarkEnd w:id="25"/>
      <w:bookmarkEnd w:id="26"/>
      <w:bookmarkEnd w:id="2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ascii="仿宋_GB2312" w:eastAsia="仿宋_GB2312" w:hAnsiTheme="minorHAnsi"/>
          <w:sz w:val="28"/>
          <w:highlight w:val="none"/>
        </w:rPr>
      </w:pPr>
      <w:bookmarkStart w:id="28" w:name="_Toc3884"/>
      <w:bookmarkStart w:id="29" w:name="_Toc19512"/>
      <w:r>
        <w:rPr>
          <w:rFonts w:hint="eastAsia" w:ascii="仿宋_GB2312" w:eastAsia="仿宋_GB2312" w:hAnsiTheme="minorHAnsi"/>
          <w:sz w:val="28"/>
          <w:highlight w:val="none"/>
        </w:rPr>
        <w:t>本次绩效评价的对象是</w:t>
      </w:r>
      <w:r>
        <w:rPr>
          <w:rFonts w:hint="eastAsia" w:ascii="仿宋_GB2312" w:hAnsiTheme="minorHAnsi"/>
          <w:sz w:val="28"/>
          <w:highlight w:val="none"/>
          <w:lang w:eastAsia="zh-CN"/>
        </w:rPr>
        <w:t>宁武县汾河及恢河两侧山体植被修复与保护工程资金</w:t>
      </w:r>
      <w:r>
        <w:rPr>
          <w:rFonts w:hint="eastAsia" w:ascii="仿宋_GB2312" w:eastAsia="仿宋_GB2312" w:hAnsiTheme="minorHAnsi"/>
          <w:sz w:val="28"/>
          <w:highlight w:val="none"/>
          <w:lang w:val="en-US" w:eastAsia="zh-CN"/>
        </w:rPr>
        <w:t>2191.835万</w:t>
      </w:r>
      <w:r>
        <w:rPr>
          <w:rFonts w:hint="eastAsia" w:ascii="仿宋_GB2312" w:eastAsia="仿宋_GB2312" w:hAnsiTheme="minorHAnsi"/>
          <w:sz w:val="28"/>
          <w:highlight w:val="none"/>
        </w:rPr>
        <w:t>元，与此同时，对财政资金的监督、管理使用进行评价，根据评价结果，提出相关政策性意见。</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楷体_GB2312" w:hAnsi="楷体_GB2312" w:eastAsia="楷体_GB2312" w:cs="楷体_GB2312"/>
          <w:i w:val="0"/>
          <w:iCs w:val="0"/>
          <w:caps w:val="0"/>
          <w:color w:val="000000"/>
          <w:spacing w:val="0"/>
          <w:kern w:val="0"/>
          <w:sz w:val="28"/>
          <w:szCs w:val="28"/>
          <w:highlight w:val="none"/>
          <w:lang w:val="en-US" w:eastAsia="zh-CN" w:bidi="ar"/>
        </w:rPr>
      </w:pPr>
      <w:r>
        <w:rPr>
          <w:rFonts w:hint="eastAsia" w:ascii="仿宋_GB2312" w:eastAsia="仿宋_GB2312" w:hAnsiTheme="minorHAnsi" w:cstheme="minorBidi"/>
          <w:kern w:val="0"/>
          <w:sz w:val="28"/>
          <w:szCs w:val="24"/>
          <w:highlight w:val="none"/>
          <w:lang w:val="en-US" w:eastAsia="zh-CN" w:bidi="ar"/>
        </w:rPr>
        <w:t>绩效评价范围为宁武县汾河及恢河两侧山体植被修复与保护工程资金产生的绩效以及为产生绩效所经历的各环节过程，具体绩效评价范围包括项目决策、过程、产出、效益。</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30" w:name="_Toc18949"/>
      <w:r>
        <w:rPr>
          <w:rFonts w:hint="eastAsia" w:ascii="楷体_GB2312" w:hAnsi="楷体_GB2312" w:eastAsia="楷体_GB2312" w:cs="楷体_GB2312"/>
          <w:i w:val="0"/>
          <w:iCs w:val="0"/>
          <w:caps w:val="0"/>
          <w:color w:val="000000"/>
          <w:spacing w:val="0"/>
          <w:kern w:val="0"/>
          <w:sz w:val="28"/>
          <w:szCs w:val="28"/>
          <w:highlight w:val="none"/>
          <w:lang w:val="en-US" w:eastAsia="zh-CN" w:bidi="ar"/>
        </w:rPr>
        <w:t>（三）评价基准日</w:t>
      </w:r>
      <w:bookmarkEnd w:id="28"/>
      <w:bookmarkEnd w:id="29"/>
      <w:bookmarkEnd w:id="3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8"/>
          <w:szCs w:val="28"/>
          <w:highlight w:val="none"/>
          <w:lang w:val="en-US" w:eastAsia="zh-CN"/>
        </w:rPr>
        <w:t>根据财政资金计划下达时间、项目实施期限，项目绩效显现等因素，综合确定本次绩效评价基准</w:t>
      </w:r>
      <w:r>
        <w:rPr>
          <w:rFonts w:hint="eastAsia" w:ascii="仿宋_GB2312" w:hAnsi="仿宋_GB2312" w:eastAsia="仿宋_GB2312" w:cs="仿宋_GB2312"/>
          <w:color w:val="auto"/>
          <w:sz w:val="28"/>
          <w:szCs w:val="28"/>
          <w:highlight w:val="none"/>
          <w:lang w:val="en-US" w:eastAsia="zh-CN"/>
        </w:rPr>
        <w:t>日为2021年</w:t>
      </w:r>
      <w:r>
        <w:rPr>
          <w:rFonts w:hint="eastAsia" w:ascii="仿宋_GB2312" w:hAnsi="仿宋_GB2312" w:cs="仿宋_GB2312"/>
          <w:color w:val="auto"/>
          <w:sz w:val="28"/>
          <w:szCs w:val="28"/>
          <w:highlight w:val="none"/>
          <w:lang w:val="en-US" w:eastAsia="zh-CN"/>
        </w:rPr>
        <w:t>6</w:t>
      </w:r>
      <w:r>
        <w:rPr>
          <w:rFonts w:hint="eastAsia" w:ascii="仿宋_GB2312" w:hAnsi="仿宋_GB2312" w:eastAsia="仿宋_GB2312" w:cs="仿宋_GB2312"/>
          <w:color w:val="auto"/>
          <w:sz w:val="28"/>
          <w:szCs w:val="28"/>
          <w:highlight w:val="none"/>
          <w:lang w:val="en-US" w:eastAsia="zh-CN"/>
        </w:rPr>
        <w:t>月3</w:t>
      </w:r>
      <w:r>
        <w:rPr>
          <w:rFonts w:hint="eastAsia" w:ascii="仿宋_GB2312" w:hAnsi="仿宋_GB2312" w:cs="仿宋_GB2312"/>
          <w:color w:val="auto"/>
          <w:sz w:val="28"/>
          <w:szCs w:val="28"/>
          <w:highlight w:val="none"/>
          <w:lang w:val="en-US" w:eastAsia="zh-CN"/>
        </w:rPr>
        <w:t>0</w:t>
      </w:r>
      <w:r>
        <w:rPr>
          <w:rFonts w:hint="eastAsia" w:ascii="仿宋_GB2312" w:hAnsi="仿宋_GB2312" w:eastAsia="仿宋_GB2312" w:cs="仿宋_GB2312"/>
          <w:color w:val="auto"/>
          <w:sz w:val="28"/>
          <w:szCs w:val="28"/>
          <w:highlight w:val="none"/>
          <w:lang w:val="en-US" w:eastAsia="zh-CN"/>
        </w:rPr>
        <w:t>日。</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1"/>
        <w:rPr>
          <w:rFonts w:hint="eastAsia" w:ascii="楷体_GB2312" w:hAnsi="楷体_GB2312" w:eastAsia="楷体_GB2312" w:cs="楷体_GB2312"/>
          <w:i w:val="0"/>
          <w:iCs w:val="0"/>
          <w:caps w:val="0"/>
          <w:color w:val="000000"/>
          <w:spacing w:val="0"/>
          <w:kern w:val="0"/>
          <w:sz w:val="28"/>
          <w:szCs w:val="28"/>
          <w:highlight w:val="none"/>
          <w:lang w:val="en-US" w:eastAsia="zh-CN" w:bidi="ar"/>
        </w:rPr>
      </w:pPr>
      <w:bookmarkStart w:id="31" w:name="_Toc12418"/>
      <w:bookmarkStart w:id="32" w:name="_Toc18726"/>
      <w:bookmarkStart w:id="33" w:name="_Toc12233"/>
      <w:r>
        <w:rPr>
          <w:rFonts w:hint="eastAsia" w:ascii="楷体_GB2312" w:hAnsi="楷体_GB2312" w:eastAsia="楷体_GB2312" w:cs="楷体_GB2312"/>
          <w:i w:val="0"/>
          <w:iCs w:val="0"/>
          <w:caps w:val="0"/>
          <w:color w:val="000000"/>
          <w:spacing w:val="0"/>
          <w:kern w:val="0"/>
          <w:sz w:val="28"/>
          <w:szCs w:val="28"/>
          <w:highlight w:val="none"/>
          <w:lang w:val="en-US" w:eastAsia="zh-CN" w:bidi="ar"/>
        </w:rPr>
        <w:t>（四）绩效评价指标体系</w:t>
      </w:r>
      <w:bookmarkEnd w:id="31"/>
      <w:bookmarkEnd w:id="32"/>
      <w:bookmarkEnd w:id="33"/>
    </w:p>
    <w:p>
      <w:pPr>
        <w:keepNext/>
        <w:keepLines/>
        <w:pageBreakBefore w:val="0"/>
        <w:widowControl w:val="0"/>
        <w:kinsoku/>
        <w:wordWrap/>
        <w:overflowPunct/>
        <w:topLinePunct w:val="0"/>
        <w:autoSpaceDE/>
        <w:autoSpaceDN/>
        <w:bidi w:val="0"/>
        <w:adjustRightInd w:val="0"/>
        <w:snapToGrid w:val="0"/>
        <w:spacing w:beforeAutospacing="0" w:afterAutospacing="0" w:line="360" w:lineRule="auto"/>
        <w:ind w:firstLine="562" w:firstLineChars="200"/>
        <w:jc w:val="both"/>
        <w:textAlignment w:val="auto"/>
        <w:outlineLvl w:val="2"/>
        <w:rPr>
          <w:rFonts w:hint="eastAsia" w:ascii="仿宋_GB2312" w:hAnsi="仿宋_GB2312" w:eastAsia="仿宋_GB2312" w:cs="仿宋_GB2312"/>
          <w:b/>
          <w:kern w:val="2"/>
          <w:sz w:val="28"/>
          <w:szCs w:val="28"/>
          <w:highlight w:val="none"/>
          <w:lang w:val="en-US" w:eastAsia="zh-CN" w:bidi="ar-SA"/>
        </w:rPr>
      </w:pPr>
      <w:bookmarkStart w:id="34" w:name="_Toc31782"/>
      <w:bookmarkStart w:id="35" w:name="_Toc8685"/>
      <w:r>
        <w:rPr>
          <w:rFonts w:hint="eastAsia" w:ascii="仿宋_GB2312" w:hAnsi="仿宋_GB2312" w:eastAsia="仿宋_GB2312" w:cs="仿宋_GB2312"/>
          <w:b/>
          <w:kern w:val="2"/>
          <w:sz w:val="28"/>
          <w:szCs w:val="28"/>
          <w:highlight w:val="none"/>
          <w:lang w:val="en-US" w:eastAsia="zh-CN" w:bidi="ar-SA"/>
        </w:rPr>
        <w:t>1.指标体系设计思路</w:t>
      </w:r>
      <w:bookmarkEnd w:id="34"/>
      <w:bookmarkEnd w:id="35"/>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i w:val="0"/>
          <w:iCs w:val="0"/>
          <w:caps w:val="0"/>
          <w:color w:val="000000"/>
          <w:spacing w:val="0"/>
          <w:kern w:val="0"/>
          <w:sz w:val="28"/>
          <w:szCs w:val="28"/>
          <w:highlight w:val="none"/>
          <w:lang w:val="en-US" w:eastAsia="zh-CN" w:bidi="ar"/>
        </w:rPr>
        <w:t>按照财政部《项目支出绩效评价管理办法》（财预〔2020〕10号）和山西省财政厅《省级项目支出绩效评价管理办法》（晋财绩〔2020〕17号）中的项目支出绩效评价指标体系框架（参考），遵循“突出项目资金、兼顾政策内容”的评价思路，结合</w:t>
      </w:r>
      <w:r>
        <w:rPr>
          <w:rFonts w:hint="eastAsia" w:ascii="仿宋_GB2312" w:hAnsi="仿宋_GB2312" w:eastAsia="仿宋_GB2312" w:cs="仿宋_GB2312"/>
          <w:color w:val="auto"/>
          <w:kern w:val="2"/>
          <w:sz w:val="28"/>
          <w:szCs w:val="28"/>
          <w:highlight w:val="none"/>
          <w:lang w:val="en-US" w:eastAsia="zh-CN" w:bidi="ar-SA"/>
        </w:rPr>
        <w:t>宁武县汾河及恢河两侧山体植被修复与保护工程</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的实际情况，本着全面反映</w:t>
      </w:r>
      <w:r>
        <w:rPr>
          <w:rFonts w:hint="eastAsia" w:ascii="仿宋_GB2312" w:hAnsi="仿宋_GB2312" w:eastAsia="仿宋_GB2312" w:cs="仿宋_GB2312"/>
          <w:color w:val="auto"/>
          <w:kern w:val="2"/>
          <w:sz w:val="28"/>
          <w:szCs w:val="28"/>
          <w:highlight w:val="none"/>
          <w:lang w:val="en-US" w:eastAsia="zh-CN" w:bidi="ar-SA"/>
        </w:rPr>
        <w:t>宁武县汾河及恢河两侧山体植被修复与保护工程</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的预算绩效管理情况，本着尽可能细化、量化、可操作的原则，结合计划标准、历史标准等制定指标的目标值，兼顾相关政策内容，设计形成了</w:t>
      </w:r>
      <w:r>
        <w:rPr>
          <w:rFonts w:hint="eastAsia" w:ascii="仿宋_GB2312" w:hAnsi="仿宋_GB2312" w:eastAsia="仿宋_GB2312" w:cs="仿宋_GB2312"/>
          <w:color w:val="auto"/>
          <w:kern w:val="2"/>
          <w:sz w:val="28"/>
          <w:szCs w:val="28"/>
          <w:highlight w:val="none"/>
          <w:lang w:val="en-US" w:eastAsia="zh-CN" w:bidi="ar-SA"/>
        </w:rPr>
        <w:t>宁武县汾河及恢河两侧山体植被修复与保护工程</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支出绩效评价指标体系，</w:t>
      </w:r>
      <w:r>
        <w:rPr>
          <w:rFonts w:hint="eastAsia" w:ascii="仿宋_GB2312" w:hAnsi="仿宋_GB2312" w:eastAsia="仿宋_GB2312" w:cs="仿宋_GB2312"/>
          <w:i w:val="0"/>
          <w:iCs w:val="0"/>
          <w:caps w:val="0"/>
          <w:color w:val="auto"/>
          <w:spacing w:val="0"/>
          <w:kern w:val="0"/>
          <w:sz w:val="28"/>
          <w:szCs w:val="28"/>
          <w:highlight w:val="none"/>
          <w:lang w:val="en-US" w:eastAsia="zh-CN" w:bidi="ar"/>
        </w:rPr>
        <w:t>从决策、过程、产出和效益四个维度进行评价。</w:t>
      </w:r>
    </w:p>
    <w:p>
      <w:pPr>
        <w:keepNext/>
        <w:keepLines/>
        <w:pageBreakBefore w:val="0"/>
        <w:widowControl w:val="0"/>
        <w:kinsoku/>
        <w:wordWrap/>
        <w:overflowPunct/>
        <w:topLinePunct w:val="0"/>
        <w:autoSpaceDE/>
        <w:autoSpaceDN/>
        <w:bidi w:val="0"/>
        <w:adjustRightInd w:val="0"/>
        <w:snapToGrid w:val="0"/>
        <w:spacing w:beforeAutospacing="0" w:afterAutospacing="0" w:line="360" w:lineRule="auto"/>
        <w:ind w:firstLine="562" w:firstLineChars="200"/>
        <w:jc w:val="both"/>
        <w:textAlignment w:val="auto"/>
        <w:outlineLvl w:val="2"/>
        <w:rPr>
          <w:rFonts w:hint="eastAsia" w:ascii="仿宋_GB2312" w:hAnsi="仿宋_GB2312" w:eastAsia="仿宋_GB2312" w:cs="仿宋_GB2312"/>
          <w:b/>
          <w:bCs/>
          <w:color w:val="auto"/>
          <w:kern w:val="0"/>
          <w:sz w:val="28"/>
          <w:szCs w:val="28"/>
          <w:highlight w:val="none"/>
          <w:lang w:val="zh-CN" w:eastAsia="zh-CN" w:bidi="zh-CN"/>
        </w:rPr>
      </w:pPr>
      <w:bookmarkStart w:id="36" w:name="_Toc13"/>
      <w:bookmarkStart w:id="37" w:name="_Toc11582"/>
      <w:r>
        <w:rPr>
          <w:rFonts w:hint="eastAsia" w:ascii="仿宋_GB2312" w:hAnsi="仿宋_GB2312" w:eastAsia="仿宋_GB2312" w:cs="仿宋_GB2312"/>
          <w:b/>
          <w:kern w:val="2"/>
          <w:sz w:val="28"/>
          <w:szCs w:val="28"/>
          <w:highlight w:val="none"/>
          <w:lang w:val="en-US" w:eastAsia="zh-CN" w:bidi="ar-SA"/>
        </w:rPr>
        <w:t>2</w:t>
      </w:r>
      <w:r>
        <w:rPr>
          <w:rFonts w:hint="eastAsia" w:ascii="仿宋_GB2312" w:hAnsi="仿宋_GB2312" w:eastAsia="仿宋_GB2312" w:cs="仿宋_GB2312"/>
          <w:b/>
          <w:kern w:val="2"/>
          <w:sz w:val="28"/>
          <w:szCs w:val="28"/>
          <w:highlight w:val="none"/>
          <w:lang w:val="zh-CN" w:eastAsia="zh-CN" w:bidi="ar-SA"/>
        </w:rPr>
        <w:t>.权重设计思路</w:t>
      </w:r>
      <w:bookmarkEnd w:id="36"/>
      <w:bookmarkEnd w:id="37"/>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auto"/>
          <w:spacing w:val="0"/>
          <w:kern w:val="0"/>
          <w:sz w:val="28"/>
          <w:szCs w:val="28"/>
          <w:highlight w:val="none"/>
          <w:lang w:val="en-US" w:eastAsia="zh-CN" w:bidi="ar"/>
        </w:rPr>
      </w:pPr>
      <w:r>
        <w:rPr>
          <w:rFonts w:hint="eastAsia" w:ascii="仿宋_GB2312" w:hAnsi="仿宋_GB2312" w:eastAsia="仿宋_GB2312" w:cs="仿宋_GB2312"/>
          <w:color w:val="auto"/>
          <w:kern w:val="0"/>
          <w:sz w:val="28"/>
          <w:szCs w:val="28"/>
          <w:highlight w:val="none"/>
          <w:lang w:val="zh-CN" w:eastAsia="zh-CN" w:bidi="zh-CN"/>
        </w:rPr>
        <w:t>本次</w:t>
      </w:r>
      <w:r>
        <w:rPr>
          <w:rFonts w:hint="eastAsia" w:ascii="仿宋_GB2312" w:hAnsi="仿宋_GB2312" w:eastAsia="仿宋_GB2312" w:cs="仿宋_GB2312"/>
          <w:color w:val="auto"/>
          <w:kern w:val="0"/>
          <w:sz w:val="28"/>
          <w:szCs w:val="28"/>
          <w:highlight w:val="none"/>
          <w:lang w:val="en-US" w:eastAsia="zh-CN" w:bidi="zh-CN"/>
        </w:rPr>
        <w:t>绩效评价一级指标</w:t>
      </w:r>
      <w:r>
        <w:rPr>
          <w:rFonts w:hint="eastAsia" w:ascii="仿宋_GB2312" w:hAnsi="仿宋_GB2312" w:eastAsia="仿宋_GB2312" w:cs="仿宋_GB2312"/>
          <w:color w:val="auto"/>
          <w:kern w:val="0"/>
          <w:sz w:val="28"/>
          <w:szCs w:val="28"/>
          <w:highlight w:val="none"/>
          <w:lang w:val="zh-CN" w:eastAsia="zh-CN" w:bidi="zh-CN"/>
        </w:rPr>
        <w:t>权重设计</w:t>
      </w:r>
      <w:r>
        <w:rPr>
          <w:rFonts w:hint="eastAsia" w:ascii="仿宋_GB2312" w:hAnsi="仿宋_GB2312" w:eastAsia="仿宋_GB2312" w:cs="仿宋_GB2312"/>
          <w:color w:val="auto"/>
          <w:kern w:val="0"/>
          <w:sz w:val="28"/>
          <w:szCs w:val="28"/>
          <w:highlight w:val="none"/>
          <w:lang w:val="en-US" w:eastAsia="zh-CN" w:bidi="zh-CN"/>
        </w:rPr>
        <w:t>按照财政部</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《项目支出绩效评价管理办法》（财预〔2020〕10号）和山西省财政厅《省级项目支出绩效评价管理办法》（晋财绩〔2020〕17号）</w:t>
      </w:r>
      <w:r>
        <w:rPr>
          <w:rFonts w:hint="eastAsia" w:ascii="仿宋_GB2312" w:hAnsi="仿宋_GB2312" w:eastAsia="仿宋_GB2312" w:cs="仿宋_GB2312"/>
          <w:color w:val="auto"/>
          <w:kern w:val="0"/>
          <w:sz w:val="28"/>
          <w:szCs w:val="28"/>
          <w:highlight w:val="none"/>
          <w:lang w:val="en-US" w:eastAsia="zh-CN" w:bidi="zh-CN"/>
        </w:rPr>
        <w:t>文件要求执行</w:t>
      </w:r>
      <w:r>
        <w:rPr>
          <w:rFonts w:hint="eastAsia" w:ascii="仿宋_GB2312" w:hAnsi="仿宋_GB2312" w:eastAsia="仿宋_GB2312" w:cs="仿宋_GB2312"/>
          <w:color w:val="auto"/>
          <w:kern w:val="0"/>
          <w:sz w:val="28"/>
          <w:szCs w:val="28"/>
          <w:highlight w:val="none"/>
          <w:lang w:val="zh-CN" w:eastAsia="zh-CN" w:bidi="zh-CN"/>
        </w:rPr>
        <w:t>，最终确定</w:t>
      </w:r>
      <w:r>
        <w:rPr>
          <w:rFonts w:hint="eastAsia" w:ascii="仿宋_GB2312" w:hAnsi="仿宋_GB2312" w:eastAsia="仿宋_GB2312" w:cs="仿宋_GB2312"/>
          <w:color w:val="auto"/>
          <w:kern w:val="0"/>
          <w:sz w:val="28"/>
          <w:szCs w:val="28"/>
          <w:highlight w:val="none"/>
          <w:lang w:val="en-US" w:eastAsia="zh-CN" w:bidi="zh-CN"/>
        </w:rPr>
        <w:t>决策</w:t>
      </w:r>
      <w:r>
        <w:rPr>
          <w:rFonts w:hint="eastAsia" w:ascii="仿宋_GB2312" w:hAnsi="仿宋_GB2312" w:eastAsia="仿宋_GB2312" w:cs="仿宋_GB2312"/>
          <w:color w:val="auto"/>
          <w:kern w:val="0"/>
          <w:sz w:val="28"/>
          <w:szCs w:val="28"/>
          <w:highlight w:val="none"/>
          <w:lang w:val="zh-CN" w:eastAsia="zh-CN" w:bidi="zh-CN"/>
        </w:rPr>
        <w:t>类指标权重占比</w:t>
      </w:r>
      <w:r>
        <w:rPr>
          <w:rFonts w:hint="eastAsia" w:ascii="仿宋_GB2312" w:hAnsi="仿宋_GB2312" w:eastAsia="仿宋_GB2312" w:cs="仿宋_GB2312"/>
          <w:color w:val="auto"/>
          <w:kern w:val="0"/>
          <w:sz w:val="28"/>
          <w:szCs w:val="28"/>
          <w:highlight w:val="none"/>
          <w:lang w:val="en-US" w:eastAsia="zh-CN" w:bidi="zh-CN"/>
        </w:rPr>
        <w:t>2</w:t>
      </w:r>
      <w:r>
        <w:rPr>
          <w:rFonts w:hint="eastAsia" w:ascii="仿宋_GB2312" w:hAnsi="仿宋_GB2312" w:eastAsia="仿宋_GB2312" w:cs="仿宋_GB2312"/>
          <w:color w:val="auto"/>
          <w:kern w:val="0"/>
          <w:sz w:val="28"/>
          <w:szCs w:val="28"/>
          <w:highlight w:val="none"/>
          <w:lang w:val="zh-CN" w:eastAsia="zh-CN" w:bidi="zh-CN"/>
        </w:rPr>
        <w:t>0%，过程类指标权重占比</w:t>
      </w:r>
      <w:r>
        <w:rPr>
          <w:rFonts w:hint="eastAsia" w:ascii="仿宋_GB2312" w:hAnsi="仿宋_GB2312" w:eastAsia="仿宋_GB2312" w:cs="仿宋_GB2312"/>
          <w:color w:val="auto"/>
          <w:kern w:val="0"/>
          <w:sz w:val="28"/>
          <w:szCs w:val="28"/>
          <w:highlight w:val="none"/>
          <w:lang w:val="en-US" w:eastAsia="zh-CN" w:bidi="zh-CN"/>
        </w:rPr>
        <w:t>2</w:t>
      </w:r>
      <w:r>
        <w:rPr>
          <w:rFonts w:hint="eastAsia" w:ascii="仿宋_GB2312" w:hAnsi="仿宋_GB2312" w:eastAsia="仿宋_GB2312" w:cs="仿宋_GB2312"/>
          <w:color w:val="auto"/>
          <w:kern w:val="0"/>
          <w:sz w:val="28"/>
          <w:szCs w:val="28"/>
          <w:highlight w:val="none"/>
          <w:lang w:val="zh-CN" w:eastAsia="zh-CN" w:bidi="zh-CN"/>
        </w:rPr>
        <w:t>0%，产出类指标权重占比</w:t>
      </w:r>
      <w:r>
        <w:rPr>
          <w:rFonts w:hint="eastAsia" w:ascii="仿宋_GB2312" w:hAnsi="仿宋_GB2312" w:eastAsia="仿宋_GB2312" w:cs="仿宋_GB2312"/>
          <w:color w:val="auto"/>
          <w:kern w:val="0"/>
          <w:sz w:val="28"/>
          <w:szCs w:val="28"/>
          <w:highlight w:val="none"/>
          <w:lang w:val="en-US" w:eastAsia="zh-CN" w:bidi="zh-CN"/>
        </w:rPr>
        <w:t>3</w:t>
      </w:r>
      <w:r>
        <w:rPr>
          <w:rFonts w:hint="eastAsia" w:ascii="仿宋_GB2312" w:hAnsi="仿宋_GB2312" w:eastAsia="仿宋_GB2312" w:cs="仿宋_GB2312"/>
          <w:color w:val="auto"/>
          <w:kern w:val="0"/>
          <w:sz w:val="28"/>
          <w:szCs w:val="28"/>
          <w:highlight w:val="none"/>
          <w:lang w:val="zh-CN" w:eastAsia="zh-CN" w:bidi="zh-CN"/>
        </w:rPr>
        <w:t>0%，效益类指标权重占比</w:t>
      </w:r>
      <w:r>
        <w:rPr>
          <w:rFonts w:hint="eastAsia" w:ascii="仿宋_GB2312" w:hAnsi="仿宋_GB2312" w:eastAsia="仿宋_GB2312" w:cs="仿宋_GB2312"/>
          <w:color w:val="auto"/>
          <w:kern w:val="0"/>
          <w:sz w:val="28"/>
          <w:szCs w:val="28"/>
          <w:highlight w:val="none"/>
          <w:lang w:val="en-US" w:eastAsia="zh-CN" w:bidi="zh-CN"/>
        </w:rPr>
        <w:t>3</w:t>
      </w:r>
      <w:r>
        <w:rPr>
          <w:rFonts w:hint="eastAsia" w:ascii="仿宋_GB2312" w:hAnsi="仿宋_GB2312" w:eastAsia="仿宋_GB2312" w:cs="仿宋_GB2312"/>
          <w:color w:val="auto"/>
          <w:kern w:val="0"/>
          <w:sz w:val="28"/>
          <w:szCs w:val="28"/>
          <w:highlight w:val="none"/>
          <w:lang w:val="zh-CN" w:eastAsia="zh-CN" w:bidi="zh-CN"/>
        </w:rPr>
        <w:t>0%。二、三级指标</w:t>
      </w:r>
      <w:r>
        <w:rPr>
          <w:rFonts w:hint="eastAsia" w:ascii="仿宋_GB2312" w:hAnsi="仿宋_GB2312" w:eastAsia="仿宋_GB2312" w:cs="仿宋_GB2312"/>
          <w:color w:val="auto"/>
          <w:kern w:val="0"/>
          <w:sz w:val="28"/>
          <w:szCs w:val="28"/>
          <w:highlight w:val="none"/>
          <w:lang w:val="en-US" w:eastAsia="zh-CN" w:bidi="zh-CN"/>
        </w:rPr>
        <w:t>权重分值</w:t>
      </w:r>
      <w:r>
        <w:rPr>
          <w:rFonts w:hint="eastAsia" w:ascii="仿宋_GB2312" w:hAnsi="仿宋_GB2312" w:eastAsia="仿宋_GB2312" w:cs="仿宋_GB2312"/>
          <w:color w:val="auto"/>
          <w:kern w:val="0"/>
          <w:sz w:val="28"/>
          <w:szCs w:val="28"/>
          <w:highlight w:val="none"/>
          <w:lang w:val="zh-CN" w:eastAsia="zh-CN" w:bidi="zh-CN"/>
        </w:rPr>
        <w:t>采用经验分配法，根据以往财政资金绩效评价指标体系权重的工作经验，对评价指标所代表的价值进行判断同时，根据二、三级指标与绩效目标的匹配性、在指标中的重要性、以及对一级指标的影响程度来合理确定评价指标的权重比例结构。</w:t>
      </w:r>
    </w:p>
    <w:p>
      <w:pPr>
        <w:keepNext/>
        <w:keepLines/>
        <w:pageBreakBefore w:val="0"/>
        <w:widowControl w:val="0"/>
        <w:kinsoku/>
        <w:wordWrap/>
        <w:overflowPunct/>
        <w:topLinePunct w:val="0"/>
        <w:autoSpaceDE/>
        <w:autoSpaceDN/>
        <w:bidi w:val="0"/>
        <w:adjustRightInd w:val="0"/>
        <w:snapToGrid w:val="0"/>
        <w:spacing w:beforeAutospacing="0" w:afterAutospacing="0" w:line="360" w:lineRule="auto"/>
        <w:ind w:firstLine="562" w:firstLineChars="200"/>
        <w:jc w:val="both"/>
        <w:textAlignment w:val="auto"/>
        <w:outlineLvl w:val="2"/>
        <w:rPr>
          <w:rFonts w:hint="eastAsia" w:eastAsia="仿宋_GB2312" w:asciiTheme="minorHAnsi" w:hAnsiTheme="minorHAnsi" w:cstheme="minorBidi"/>
          <w:b/>
          <w:kern w:val="2"/>
          <w:sz w:val="28"/>
          <w:szCs w:val="28"/>
          <w:highlight w:val="none"/>
          <w:lang w:val="en-US" w:eastAsia="zh-CN" w:bidi="ar-SA"/>
        </w:rPr>
      </w:pPr>
      <w:bookmarkStart w:id="38" w:name="_Toc16419"/>
      <w:bookmarkStart w:id="39" w:name="_Toc245"/>
      <w:r>
        <w:rPr>
          <w:rFonts w:hint="eastAsia" w:ascii="仿宋_GB2312" w:hAnsi="仿宋_GB2312" w:eastAsia="仿宋_GB2312" w:cs="仿宋_GB2312"/>
          <w:b/>
          <w:kern w:val="2"/>
          <w:sz w:val="28"/>
          <w:szCs w:val="28"/>
          <w:highlight w:val="none"/>
          <w:lang w:val="en-US" w:eastAsia="zh-CN" w:bidi="ar-SA"/>
        </w:rPr>
        <w:t>3.指标体系具体内容</w:t>
      </w:r>
      <w:bookmarkEnd w:id="38"/>
      <w:bookmarkEnd w:id="39"/>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firstLine="560" w:firstLineChars="200"/>
        <w:jc w:val="both"/>
        <w:textAlignment w:val="auto"/>
        <w:outlineLvl w:val="9"/>
        <w:rPr>
          <w:rFonts w:hint="eastAsia" w:ascii="仿宋_GB2312" w:hAnsi="仿宋_GB2312" w:eastAsia="仿宋_GB2312" w:cs="仿宋_GB2312"/>
          <w:i w:val="0"/>
          <w:iCs w:val="0"/>
          <w:caps w:val="0"/>
          <w:color w:val="000000"/>
          <w:spacing w:val="0"/>
          <w:kern w:val="0"/>
          <w:sz w:val="28"/>
          <w:szCs w:val="28"/>
          <w:highlight w:val="none"/>
          <w:lang w:val="en-US" w:eastAsia="zh-CN" w:bidi="ar"/>
        </w:rPr>
      </w:pPr>
      <w:r>
        <w:rPr>
          <w:rFonts w:hint="eastAsia" w:ascii="仿宋_GB2312" w:hAnsi="仿宋_GB2312" w:eastAsia="仿宋_GB2312" w:cs="仿宋_GB2312"/>
          <w:i w:val="0"/>
          <w:iCs w:val="0"/>
          <w:caps w:val="0"/>
          <w:color w:val="auto"/>
          <w:spacing w:val="0"/>
          <w:kern w:val="0"/>
          <w:sz w:val="28"/>
          <w:szCs w:val="28"/>
          <w:highlight w:val="none"/>
          <w:lang w:val="en-US" w:eastAsia="zh-CN" w:bidi="ar"/>
        </w:rPr>
        <w:t>指标体系由</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4项一级指标、1</w:t>
      </w:r>
      <w:r>
        <w:rPr>
          <w:rFonts w:hint="eastAsia" w:ascii="仿宋_GB2312" w:hAnsi="仿宋_GB2312" w:cs="仿宋_GB2312"/>
          <w:i w:val="0"/>
          <w:iCs w:val="0"/>
          <w:caps w:val="0"/>
          <w:color w:val="auto"/>
          <w:spacing w:val="0"/>
          <w:kern w:val="0"/>
          <w:sz w:val="28"/>
          <w:szCs w:val="28"/>
          <w:highlight w:val="none"/>
          <w:u w:val="none"/>
          <w:lang w:val="en-US" w:eastAsia="zh-CN" w:bidi="ar"/>
        </w:rPr>
        <w:t>3</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项二级指标、</w:t>
      </w:r>
      <w:r>
        <w:rPr>
          <w:rFonts w:hint="eastAsia" w:ascii="仿宋_GB2312" w:hAnsi="仿宋_GB2312" w:cs="仿宋_GB2312"/>
          <w:i w:val="0"/>
          <w:iCs w:val="0"/>
          <w:caps w:val="0"/>
          <w:color w:val="auto"/>
          <w:spacing w:val="0"/>
          <w:kern w:val="0"/>
          <w:sz w:val="28"/>
          <w:szCs w:val="28"/>
          <w:highlight w:val="none"/>
          <w:u w:val="none"/>
          <w:lang w:val="en-US" w:eastAsia="zh-CN" w:bidi="ar"/>
        </w:rPr>
        <w:t>25</w:t>
      </w:r>
      <w:r>
        <w:rPr>
          <w:rFonts w:hint="eastAsia" w:ascii="仿宋_GB2312" w:hAnsi="仿宋_GB2312" w:eastAsia="仿宋_GB2312" w:cs="仿宋_GB2312"/>
          <w:i w:val="0"/>
          <w:iCs w:val="0"/>
          <w:caps w:val="0"/>
          <w:color w:val="auto"/>
          <w:spacing w:val="0"/>
          <w:kern w:val="0"/>
          <w:sz w:val="28"/>
          <w:szCs w:val="28"/>
          <w:highlight w:val="none"/>
          <w:u w:val="none"/>
          <w:lang w:val="en-US" w:eastAsia="zh-CN" w:bidi="ar"/>
        </w:rPr>
        <w:t>项三级指标构成。数据主要来源于政策文件、制度文件、档案资料、基础表、满意度问卷、访谈等。决策类指标占权重分20分，从项目立项、绩效目</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标、资金投入三个角度考核项目立项依据充分性和立项程序规范性、绩效目标合理性、绩效指标明确性以及预算编制科学性、资金分配合理性的情况。过程类指标占权重分20分，从资金管理和组织实施两个角度考核项目</w:t>
      </w:r>
      <w:r>
        <w:rPr>
          <w:rFonts w:hint="eastAsia" w:ascii="仿宋_GB2312" w:hAnsi="仿宋_GB2312" w:eastAsia="仿宋_GB2312" w:cs="仿宋_GB2312"/>
          <w:highlight w:val="none"/>
          <w:lang w:val="en-US" w:eastAsia="zh-CN"/>
        </w:rPr>
        <w:t>资金到位率</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预算执行率</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资金使用合规性</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方案实施完整性</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组织机构健全性</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项目管理规范性</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政府采购规范性</w:t>
      </w:r>
      <w:r>
        <w:rPr>
          <w:rFonts w:hint="eastAsia" w:ascii="仿宋_GB2312" w:hAnsi="仿宋_GB2312" w:cs="仿宋_GB2312"/>
          <w:highlight w:val="none"/>
          <w:lang w:val="en-US" w:eastAsia="zh-CN"/>
        </w:rPr>
        <w:t>、</w:t>
      </w:r>
      <w:r>
        <w:rPr>
          <w:rFonts w:hint="eastAsia" w:ascii="仿宋_GB2312" w:hAnsi="仿宋_GB2312" w:eastAsia="仿宋_GB2312" w:cs="仿宋_GB2312"/>
          <w:highlight w:val="none"/>
          <w:lang w:val="en-US" w:eastAsia="zh-CN"/>
        </w:rPr>
        <w:t>日常监管有效性</w:t>
      </w:r>
      <w:r>
        <w:rPr>
          <w:rFonts w:hint="eastAsia" w:ascii="仿宋_GB2312" w:hAnsi="仿宋_GB2312" w:cs="仿宋_GB2312"/>
          <w:highlight w:val="none"/>
          <w:lang w:val="en-US" w:eastAsia="zh-CN"/>
        </w:rPr>
        <w:t>和</w:t>
      </w:r>
      <w:r>
        <w:rPr>
          <w:rFonts w:hint="eastAsia" w:ascii="仿宋_GB2312" w:hAnsi="仿宋_GB2312" w:eastAsia="仿宋_GB2312" w:cs="仿宋_GB2312"/>
          <w:highlight w:val="none"/>
          <w:lang w:val="en-US" w:eastAsia="zh-CN"/>
        </w:rPr>
        <w:t>档案管理规范性</w:t>
      </w:r>
      <w:r>
        <w:rPr>
          <w:rFonts w:hint="eastAsia" w:ascii="仿宋_GB2312" w:hAnsi="仿宋_GB2312" w:eastAsia="仿宋_GB2312" w:cs="仿宋_GB2312"/>
          <w:i w:val="0"/>
          <w:iCs w:val="0"/>
          <w:caps w:val="0"/>
          <w:color w:val="auto"/>
          <w:spacing w:val="0"/>
          <w:kern w:val="0"/>
          <w:sz w:val="28"/>
          <w:szCs w:val="28"/>
          <w:highlight w:val="none"/>
          <w:lang w:val="en-US" w:eastAsia="zh-CN" w:bidi="ar"/>
        </w:rPr>
        <w:t>。产出类指标占权重分30分，从产出数量、产出质量、产出时效和产出成本四个角度考核项目实际完成率、质量达标率、完成及时率、成本节约率的情况。效益类指标占权重分30分，从项目的</w:t>
      </w:r>
      <w:r>
        <w:rPr>
          <w:rFonts w:hint="eastAsia" w:ascii="仿宋_GB2312" w:hAnsi="仿宋_GB2312" w:cs="仿宋_GB2312"/>
          <w:i w:val="0"/>
          <w:iCs w:val="0"/>
          <w:caps w:val="0"/>
          <w:color w:val="auto"/>
          <w:spacing w:val="0"/>
          <w:kern w:val="0"/>
          <w:sz w:val="28"/>
          <w:szCs w:val="28"/>
          <w:highlight w:val="none"/>
          <w:lang w:val="en-US" w:eastAsia="zh-CN" w:bidi="ar"/>
        </w:rPr>
        <w:t>生态</w:t>
      </w:r>
      <w:r>
        <w:rPr>
          <w:rFonts w:hint="eastAsia" w:ascii="仿宋_GB2312" w:hAnsi="仿宋_GB2312" w:eastAsia="仿宋_GB2312" w:cs="仿宋_GB2312"/>
          <w:i w:val="0"/>
          <w:iCs w:val="0"/>
          <w:caps w:val="0"/>
          <w:color w:val="auto"/>
          <w:spacing w:val="0"/>
          <w:kern w:val="0"/>
          <w:sz w:val="28"/>
          <w:szCs w:val="28"/>
          <w:highlight w:val="none"/>
          <w:lang w:val="en-US" w:eastAsia="zh-CN" w:bidi="ar"/>
        </w:rPr>
        <w:t>效益、可持续影响、满意度进行考核</w:t>
      </w:r>
      <w:r>
        <w:rPr>
          <w:rFonts w:hint="eastAsia" w:ascii="仿宋_GB2312" w:hAnsi="仿宋_GB2312" w:eastAsia="仿宋_GB2312" w:cs="仿宋_GB2312"/>
          <w:i w:val="0"/>
          <w:iCs w:val="0"/>
          <w:caps w:val="0"/>
          <w:color w:val="000000"/>
          <w:spacing w:val="0"/>
          <w:kern w:val="0"/>
          <w:sz w:val="28"/>
          <w:szCs w:val="28"/>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7"/>
          <w:highlight w:val="none"/>
          <w:lang w:val="en-US" w:eastAsia="zh-CN" w:bidi="ar"/>
        </w:rPr>
      </w:pPr>
      <w:bookmarkStart w:id="40" w:name="_Toc6307"/>
      <w:bookmarkStart w:id="41" w:name="_Toc21613"/>
      <w:bookmarkStart w:id="42" w:name="_Toc13011"/>
      <w:bookmarkStart w:id="69" w:name="_GoBack"/>
      <w:bookmarkEnd w:id="69"/>
      <w:r>
        <w:rPr>
          <w:rFonts w:hint="eastAsia" w:ascii="楷体_GB2312" w:hAnsi="楷体_GB2312" w:eastAsia="楷体_GB2312" w:cs="楷体_GB2312"/>
          <w:i w:val="0"/>
          <w:iCs w:val="0"/>
          <w:caps w:val="0"/>
          <w:color w:val="000000"/>
          <w:spacing w:val="0"/>
          <w:kern w:val="0"/>
          <w:sz w:val="28"/>
          <w:szCs w:val="27"/>
          <w:highlight w:val="none"/>
          <w:lang w:val="en-US" w:eastAsia="zh-CN" w:bidi="ar"/>
        </w:rPr>
        <w:t>（五）绩效评价工作过程</w:t>
      </w:r>
      <w:bookmarkEnd w:id="40"/>
      <w:bookmarkEnd w:id="41"/>
      <w:bookmarkEnd w:id="42"/>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9"/>
        <w:rPr>
          <w:rFonts w:hint="default" w:ascii="仿宋_GB2312" w:hAnsi="仿宋_GB2312" w:eastAsia="仿宋_GB2312" w:cs="仿宋_GB2312"/>
          <w:i w:val="0"/>
          <w:iCs w:val="0"/>
          <w:caps w:val="0"/>
          <w:color w:val="000000"/>
          <w:spacing w:val="0"/>
          <w:kern w:val="0"/>
          <w:sz w:val="28"/>
          <w:szCs w:val="27"/>
          <w:highlight w:val="none"/>
          <w:lang w:val="en-US" w:eastAsia="zh-CN" w:bidi="ar"/>
        </w:rPr>
      </w:pPr>
      <w:r>
        <w:rPr>
          <w:rFonts w:hint="eastAsia" w:ascii="仿宋_GB2312" w:hAnsi="仿宋_GB2312" w:eastAsia="仿宋_GB2312" w:cs="仿宋_GB2312"/>
          <w:i w:val="0"/>
          <w:iCs w:val="0"/>
          <w:caps w:val="0"/>
          <w:color w:val="000000"/>
          <w:spacing w:val="0"/>
          <w:kern w:val="0"/>
          <w:sz w:val="28"/>
          <w:szCs w:val="27"/>
          <w:highlight w:val="none"/>
          <w:lang w:val="en-US" w:eastAsia="zh-CN" w:bidi="ar"/>
        </w:rPr>
        <w:t>接收</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宁武县财政局</w:t>
      </w:r>
      <w:r>
        <w:rPr>
          <w:rFonts w:hint="default" w:ascii="仿宋_GB2312" w:hAnsi="仿宋_GB2312" w:eastAsia="仿宋_GB2312" w:cs="仿宋_GB2312"/>
          <w:i w:val="0"/>
          <w:iCs w:val="0"/>
          <w:caps w:val="0"/>
          <w:color w:val="000000"/>
          <w:spacing w:val="0"/>
          <w:kern w:val="0"/>
          <w:sz w:val="28"/>
          <w:szCs w:val="27"/>
          <w:highlight w:val="none"/>
          <w:u w:val="none"/>
          <w:lang w:val="en-US" w:eastAsia="zh-CN" w:bidi="ar"/>
        </w:rPr>
        <w:t>的</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委托</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后</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，我公司高度重视，积极筹备，成立项目领导组负责评价过程的协调和督导。</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具体</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工作分为</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前期</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准备、</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现场</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实施、报告撰写三个阶段。</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7"/>
          <w:highlight w:val="none"/>
          <w:lang w:val="en-US" w:eastAsia="zh-CN" w:bidi="ar"/>
        </w:rPr>
      </w:pPr>
      <w:bookmarkStart w:id="43" w:name="_Toc14178"/>
      <w:bookmarkStart w:id="44" w:name="_Toc567"/>
      <w:r>
        <w:rPr>
          <w:rFonts w:hint="default" w:ascii="仿宋_GB2312" w:hAnsi="仿宋_GB2312" w:eastAsia="仿宋_GB2312" w:cs="仿宋_GB2312"/>
          <w:b/>
          <w:bCs/>
          <w:i w:val="0"/>
          <w:iCs w:val="0"/>
          <w:caps w:val="0"/>
          <w:color w:val="000000"/>
          <w:spacing w:val="0"/>
          <w:kern w:val="0"/>
          <w:sz w:val="28"/>
          <w:szCs w:val="27"/>
          <w:highlight w:val="none"/>
          <w:lang w:val="en-US" w:eastAsia="zh-CN" w:bidi="ar"/>
        </w:rPr>
        <w:t>1.评价准备阶段</w:t>
      </w:r>
      <w:bookmarkEnd w:id="43"/>
      <w:bookmarkEnd w:id="44"/>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9"/>
        <w:rPr>
          <w:rFonts w:hint="default" w:ascii="仿宋_GB2312" w:hAnsi="仿宋_GB2312" w:eastAsia="仿宋_GB2312" w:cs="仿宋_GB2312"/>
          <w:i w:val="0"/>
          <w:iCs w:val="0"/>
          <w:caps w:val="0"/>
          <w:color w:val="000000"/>
          <w:spacing w:val="0"/>
          <w:kern w:val="0"/>
          <w:sz w:val="28"/>
          <w:szCs w:val="27"/>
          <w:highlight w:val="none"/>
          <w:lang w:val="en-US" w:eastAsia="zh-CN" w:bidi="ar"/>
        </w:rPr>
      </w:pPr>
      <w:r>
        <w:rPr>
          <w:rFonts w:hint="default" w:ascii="仿宋_GB2312" w:hAnsi="仿宋_GB2312" w:eastAsia="仿宋_GB2312" w:cs="仿宋_GB2312"/>
          <w:i w:val="0"/>
          <w:iCs w:val="0"/>
          <w:caps w:val="0"/>
          <w:color w:val="000000"/>
          <w:spacing w:val="0"/>
          <w:kern w:val="0"/>
          <w:sz w:val="28"/>
          <w:szCs w:val="27"/>
          <w:highlight w:val="none"/>
          <w:lang w:val="en-US" w:eastAsia="zh-CN" w:bidi="ar"/>
        </w:rPr>
        <w:t>根据山西省《省级项目支出绩效评价管理办法》（晋财绩〔2020〕17号）文件精神和</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《宁武县财政局关于开展2020年度项目支出绩效评价工作的通知》（宁财字〔2020〕13号）</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总体要求，明确评价目的和工作思路，联系</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林业局</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w:t>
      </w:r>
      <w:r>
        <w:rPr>
          <w:rFonts w:hint="eastAsia" w:ascii="仿宋_GB2312" w:hAnsi="仿宋_GB2312" w:cs="仿宋_GB2312"/>
          <w:i w:val="0"/>
          <w:iCs w:val="0"/>
          <w:caps w:val="0"/>
          <w:color w:val="auto"/>
          <w:spacing w:val="0"/>
          <w:kern w:val="0"/>
          <w:sz w:val="28"/>
          <w:szCs w:val="27"/>
          <w:highlight w:val="none"/>
          <w:u w:val="none"/>
          <w:lang w:val="en-US" w:eastAsia="zh-CN" w:bidi="ar"/>
        </w:rPr>
        <w:t>施工方</w:t>
      </w:r>
      <w:r>
        <w:rPr>
          <w:rFonts w:hint="default" w:ascii="仿宋_GB2312" w:hAnsi="仿宋_GB2312" w:eastAsia="仿宋_GB2312" w:cs="仿宋_GB2312"/>
          <w:i w:val="0"/>
          <w:iCs w:val="0"/>
          <w:caps w:val="0"/>
          <w:color w:val="000000"/>
          <w:spacing w:val="0"/>
          <w:kern w:val="0"/>
          <w:sz w:val="28"/>
          <w:szCs w:val="27"/>
          <w:highlight w:val="none"/>
          <w:lang w:val="en-US" w:eastAsia="zh-CN" w:bidi="ar"/>
        </w:rPr>
        <w:t>开展调研，收集相关政策文件和信息资料，编制绩效评价指标体系、评分标准和评价等级。</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7"/>
          <w:highlight w:val="none"/>
          <w:lang w:val="en-US" w:eastAsia="zh-CN" w:bidi="ar"/>
        </w:rPr>
      </w:pPr>
      <w:bookmarkStart w:id="45" w:name="_Toc2895"/>
      <w:bookmarkStart w:id="46" w:name="_Toc3356"/>
      <w:r>
        <w:rPr>
          <w:rFonts w:hint="default" w:ascii="仿宋_GB2312" w:hAnsi="仿宋_GB2312" w:eastAsia="仿宋_GB2312" w:cs="仿宋_GB2312"/>
          <w:b/>
          <w:bCs/>
          <w:i w:val="0"/>
          <w:iCs w:val="0"/>
          <w:caps w:val="0"/>
          <w:color w:val="000000"/>
          <w:spacing w:val="0"/>
          <w:kern w:val="0"/>
          <w:sz w:val="28"/>
          <w:szCs w:val="27"/>
          <w:highlight w:val="none"/>
          <w:lang w:val="en-US" w:eastAsia="zh-CN" w:bidi="ar"/>
        </w:rPr>
        <w:t>2.组织实施阶段</w:t>
      </w:r>
      <w:bookmarkEnd w:id="45"/>
      <w:bookmarkEnd w:id="46"/>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bookmarkStart w:id="47" w:name="_Toc32670"/>
      <w:r>
        <w:rPr>
          <w:rFonts w:hint="eastAsia" w:ascii="仿宋_GB2312" w:hAnsi="仿宋_GB2312" w:eastAsia="仿宋_GB2312" w:cs="仿宋_GB2312"/>
          <w:sz w:val="28"/>
          <w:szCs w:val="36"/>
          <w:highlight w:val="none"/>
          <w:lang w:val="en-US" w:eastAsia="zh-CN"/>
        </w:rPr>
        <w:t>（1）围绕评价指标补充收集相关资料；</w:t>
      </w:r>
      <w:bookmarkEnd w:id="4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bookmarkStart w:id="48" w:name="_Toc2125"/>
      <w:r>
        <w:rPr>
          <w:rFonts w:hint="eastAsia" w:ascii="仿宋_GB2312" w:hAnsi="仿宋_GB2312" w:eastAsia="仿宋_GB2312" w:cs="仿宋_GB2312"/>
          <w:sz w:val="28"/>
          <w:szCs w:val="36"/>
          <w:highlight w:val="none"/>
          <w:lang w:val="en-US" w:eastAsia="zh-CN"/>
        </w:rPr>
        <w:t>（2）现场勘查。根据评价对象的特点和项目单位提供的数据资料，现场勘查项目建设情况及运营情况。</w:t>
      </w:r>
      <w:bookmarkEnd w:id="48"/>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36"/>
          <w:highlight w:val="none"/>
          <w:lang w:val="en-US" w:eastAsia="zh-CN"/>
        </w:rPr>
      </w:pPr>
      <w:bookmarkStart w:id="49" w:name="_Toc8827"/>
      <w:r>
        <w:rPr>
          <w:rFonts w:hint="eastAsia" w:ascii="仿宋_GB2312" w:hAnsi="仿宋_GB2312" w:eastAsia="仿宋_GB2312" w:cs="仿宋_GB2312"/>
          <w:sz w:val="28"/>
          <w:szCs w:val="36"/>
          <w:highlight w:val="none"/>
          <w:lang w:val="en-US" w:eastAsia="zh-CN"/>
        </w:rPr>
        <w:t>（3）满意度调查。向项目受益群体发放一定数量的满意度调查问卷，汇总受益群体对项目的意见及建议，形成满意度调查问卷分析。</w:t>
      </w:r>
      <w:bookmarkEnd w:id="49"/>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highlight w:val="none"/>
          <w:lang w:val="en-US" w:eastAsia="zh-CN"/>
        </w:rPr>
      </w:pPr>
      <w:bookmarkStart w:id="50" w:name="_Toc6703"/>
      <w:r>
        <w:rPr>
          <w:rFonts w:hint="eastAsia" w:ascii="仿宋_GB2312" w:hAnsi="仿宋_GB2312" w:eastAsia="仿宋_GB2312" w:cs="仿宋_GB2312"/>
          <w:sz w:val="28"/>
          <w:szCs w:val="28"/>
          <w:highlight w:val="none"/>
          <w:lang w:val="en-US" w:eastAsia="zh-CN"/>
        </w:rPr>
        <w:t>（4）综合评价。根据评价工作方案确定的评价指标、评价权重、评价标准和评价方法，对评价对象的情况进行全面的定量定性分析和综合评价。</w:t>
      </w:r>
      <w:bookmarkEnd w:id="50"/>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2" w:firstLineChars="200"/>
        <w:jc w:val="left"/>
        <w:textAlignment w:val="auto"/>
        <w:outlineLvl w:val="2"/>
        <w:rPr>
          <w:rFonts w:hint="default" w:ascii="仿宋_GB2312" w:hAnsi="仿宋_GB2312" w:eastAsia="仿宋_GB2312" w:cs="仿宋_GB2312"/>
          <w:b/>
          <w:bCs/>
          <w:i w:val="0"/>
          <w:iCs w:val="0"/>
          <w:caps w:val="0"/>
          <w:color w:val="000000"/>
          <w:spacing w:val="0"/>
          <w:kern w:val="0"/>
          <w:sz w:val="28"/>
          <w:szCs w:val="28"/>
          <w:highlight w:val="none"/>
          <w:lang w:val="en-US" w:eastAsia="zh-CN" w:bidi="ar"/>
        </w:rPr>
      </w:pPr>
      <w:bookmarkStart w:id="51" w:name="_Toc15912"/>
      <w:bookmarkStart w:id="52" w:name="_Toc32698"/>
      <w:bookmarkStart w:id="53" w:name="_Toc30607"/>
      <w:r>
        <w:rPr>
          <w:rFonts w:hint="default" w:ascii="仿宋_GB2312" w:hAnsi="仿宋_GB2312" w:eastAsia="仿宋_GB2312" w:cs="仿宋_GB2312"/>
          <w:b/>
          <w:bCs/>
          <w:i w:val="0"/>
          <w:iCs w:val="0"/>
          <w:caps w:val="0"/>
          <w:color w:val="000000"/>
          <w:spacing w:val="0"/>
          <w:kern w:val="0"/>
          <w:sz w:val="28"/>
          <w:szCs w:val="28"/>
          <w:highlight w:val="none"/>
          <w:lang w:val="en-US" w:eastAsia="zh-CN" w:bidi="ar"/>
        </w:rPr>
        <w:t>3.报告撰写阶段</w:t>
      </w:r>
      <w:bookmarkEnd w:id="51"/>
      <w:bookmarkEnd w:id="52"/>
      <w:bookmarkEnd w:id="53"/>
    </w:p>
    <w:p>
      <w:pPr>
        <w:bidi w:val="0"/>
        <w:rPr>
          <w:rFonts w:hint="eastAsia"/>
          <w:highlight w:val="none"/>
          <w:lang w:val="en-US" w:eastAsia="zh-CN"/>
        </w:rPr>
      </w:pPr>
      <w:bookmarkStart w:id="54" w:name="_Toc3178"/>
      <w:r>
        <w:rPr>
          <w:rFonts w:hint="default"/>
          <w:highlight w:val="none"/>
          <w:lang w:val="en-US" w:eastAsia="zh-CN"/>
        </w:rPr>
        <w:t>绩效评价组根据被评价单位的绩效情况，按要求撰写评价报告，并根据专家意见进一步完善、修改绩效评价报告，形成</w:t>
      </w:r>
      <w:r>
        <w:rPr>
          <w:rFonts w:hint="eastAsia"/>
          <w:highlight w:val="none"/>
          <w:lang w:val="en-US" w:eastAsia="zh-CN"/>
        </w:rPr>
        <w:t>报告提交报送委托评价单位。</w:t>
      </w:r>
      <w:bookmarkEnd w:id="17"/>
      <w:bookmarkEnd w:id="18"/>
      <w:bookmarkEnd w:id="19"/>
      <w:bookmarkEnd w:id="20"/>
      <w:bookmarkEnd w:id="21"/>
      <w:bookmarkEnd w:id="22"/>
      <w:bookmarkEnd w:id="23"/>
      <w:bookmarkEnd w:id="24"/>
      <w:bookmarkEnd w:id="54"/>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360" w:lineRule="auto"/>
        <w:ind w:left="0" w:right="0" w:firstLine="560" w:firstLineChars="200"/>
        <w:jc w:val="left"/>
        <w:textAlignment w:val="auto"/>
        <w:outlineLvl w:val="0"/>
        <w:rPr>
          <w:rFonts w:hint="eastAsia" w:ascii="黑体" w:hAnsi="黑体" w:eastAsia="黑体" w:cs="黑体"/>
          <w:i w:val="0"/>
          <w:iCs w:val="0"/>
          <w:caps w:val="0"/>
          <w:color w:val="000000"/>
          <w:spacing w:val="0"/>
          <w:kern w:val="0"/>
          <w:sz w:val="28"/>
          <w:szCs w:val="28"/>
          <w:highlight w:val="none"/>
          <w:lang w:val="en-US" w:eastAsia="zh-CN" w:bidi="ar"/>
        </w:rPr>
      </w:pPr>
      <w:bookmarkStart w:id="55" w:name="_Toc3779"/>
      <w:bookmarkStart w:id="56" w:name="_Toc28525"/>
      <w:bookmarkStart w:id="57" w:name="_Toc19030"/>
      <w:r>
        <w:rPr>
          <w:rFonts w:hint="eastAsia" w:ascii="黑体" w:hAnsi="黑体" w:eastAsia="黑体" w:cs="黑体"/>
          <w:i w:val="0"/>
          <w:iCs w:val="0"/>
          <w:caps w:val="0"/>
          <w:color w:val="000000"/>
          <w:spacing w:val="0"/>
          <w:kern w:val="0"/>
          <w:sz w:val="28"/>
          <w:szCs w:val="28"/>
          <w:highlight w:val="none"/>
          <w:lang w:val="en-US" w:eastAsia="zh-CN" w:bidi="ar"/>
        </w:rPr>
        <w:t>三、综合评价情况及评价结论</w:t>
      </w:r>
      <w:bookmarkEnd w:id="55"/>
      <w:bookmarkEnd w:id="56"/>
      <w:bookmarkEnd w:id="57"/>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jc w:val="left"/>
        <w:textAlignment w:val="auto"/>
        <w:outlineLvl w:val="1"/>
        <w:rPr>
          <w:rFonts w:hint="eastAsia" w:ascii="楷体_GB2312" w:hAnsi="楷体_GB2312" w:eastAsia="楷体_GB2312" w:cs="楷体_GB2312"/>
          <w:i w:val="0"/>
          <w:iCs w:val="0"/>
          <w:caps w:val="0"/>
          <w:color w:val="000000"/>
          <w:spacing w:val="0"/>
          <w:kern w:val="0"/>
          <w:sz w:val="28"/>
          <w:szCs w:val="27"/>
          <w:highlight w:val="none"/>
          <w:lang w:val="en-US" w:eastAsia="zh-CN" w:bidi="ar"/>
        </w:rPr>
      </w:pPr>
      <w:bookmarkStart w:id="58" w:name="_Toc26490"/>
      <w:bookmarkStart w:id="59" w:name="_Toc26329"/>
      <w:r>
        <w:rPr>
          <w:rFonts w:hint="eastAsia" w:ascii="楷体_GB2312" w:hAnsi="楷体_GB2312" w:eastAsia="楷体_GB2312" w:cs="楷体_GB2312"/>
          <w:i w:val="0"/>
          <w:iCs w:val="0"/>
          <w:caps w:val="0"/>
          <w:color w:val="000000"/>
          <w:spacing w:val="0"/>
          <w:kern w:val="0"/>
          <w:sz w:val="28"/>
          <w:szCs w:val="27"/>
          <w:highlight w:val="none"/>
          <w:lang w:val="en-US" w:eastAsia="zh-CN" w:bidi="ar"/>
        </w:rPr>
        <w:t>（一）综合评价情况</w:t>
      </w:r>
      <w:bookmarkEnd w:id="58"/>
      <w:bookmarkEnd w:id="59"/>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i w:val="0"/>
          <w:iCs w:val="0"/>
          <w:caps w:val="0"/>
          <w:color w:val="000000"/>
          <w:spacing w:val="0"/>
          <w:kern w:val="0"/>
          <w:sz w:val="28"/>
          <w:szCs w:val="27"/>
          <w:highlight w:val="none"/>
          <w:lang w:val="en-US" w:eastAsia="zh-CN" w:bidi="ar"/>
        </w:rPr>
        <w:t>宁武县汾河及恢河两侧山体植被修复与保护工程绩效评价综合得分80.5分。评价等级为</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w:t>
      </w:r>
      <w:r>
        <w:rPr>
          <w:rFonts w:hint="eastAsia" w:ascii="仿宋_GB2312" w:hAnsi="仿宋_GB2312" w:cs="仿宋_GB2312"/>
          <w:i w:val="0"/>
          <w:iCs w:val="0"/>
          <w:caps w:val="0"/>
          <w:color w:val="auto"/>
          <w:spacing w:val="0"/>
          <w:kern w:val="0"/>
          <w:sz w:val="28"/>
          <w:szCs w:val="27"/>
          <w:highlight w:val="none"/>
          <w:u w:val="none"/>
          <w:lang w:val="en-US" w:eastAsia="zh-CN" w:bidi="ar"/>
        </w:rPr>
        <w:t>良</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w:t>
      </w:r>
      <w:r>
        <w:rPr>
          <w:rFonts w:hint="eastAsia" w:ascii="仿宋_GB2312" w:hAnsi="仿宋_GB2312" w:eastAsia="仿宋_GB2312" w:cs="仿宋_GB2312"/>
          <w:i w:val="0"/>
          <w:iCs w:val="0"/>
          <w:caps w:val="0"/>
          <w:color w:val="000000"/>
          <w:spacing w:val="0"/>
          <w:kern w:val="0"/>
          <w:sz w:val="28"/>
          <w:szCs w:val="27"/>
          <w:highlight w:val="none"/>
          <w:lang w:val="en-US" w:eastAsia="zh-CN" w:bidi="ar"/>
        </w:rPr>
        <w:t>。</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其中决策类指标得17.5分，过程类指标得</w:t>
      </w:r>
      <w:r>
        <w:rPr>
          <w:rFonts w:hint="eastAsia" w:ascii="仿宋_GB2312" w:hAnsi="仿宋_GB2312" w:cs="仿宋_GB2312"/>
          <w:i w:val="0"/>
          <w:iCs w:val="0"/>
          <w:caps w:val="0"/>
          <w:color w:val="auto"/>
          <w:spacing w:val="0"/>
          <w:kern w:val="0"/>
          <w:sz w:val="28"/>
          <w:szCs w:val="27"/>
          <w:highlight w:val="none"/>
          <w:u w:val="none"/>
          <w:lang w:val="en-US" w:eastAsia="zh-CN" w:bidi="ar"/>
        </w:rPr>
        <w:t>18</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分，产出类指标得17.33分，效益类指标得</w:t>
      </w:r>
      <w:r>
        <w:rPr>
          <w:rFonts w:hint="eastAsia" w:ascii="仿宋_GB2312" w:hAnsi="仿宋_GB2312" w:cs="仿宋_GB2312"/>
          <w:i w:val="0"/>
          <w:iCs w:val="0"/>
          <w:caps w:val="0"/>
          <w:color w:val="auto"/>
          <w:spacing w:val="0"/>
          <w:kern w:val="0"/>
          <w:sz w:val="28"/>
          <w:szCs w:val="27"/>
          <w:highlight w:val="none"/>
          <w:u w:val="none"/>
          <w:lang w:val="en-US" w:eastAsia="zh-CN" w:bidi="ar"/>
        </w:rPr>
        <w:t>27.67</w:t>
      </w:r>
      <w:r>
        <w:rPr>
          <w:rFonts w:hint="eastAsia" w:ascii="仿宋_GB2312" w:hAnsi="仿宋_GB2312" w:eastAsia="仿宋_GB2312" w:cs="仿宋_GB2312"/>
          <w:i w:val="0"/>
          <w:iCs w:val="0"/>
          <w:caps w:val="0"/>
          <w:color w:val="auto"/>
          <w:spacing w:val="0"/>
          <w:kern w:val="0"/>
          <w:sz w:val="28"/>
          <w:szCs w:val="27"/>
          <w:highlight w:val="none"/>
          <w:u w:val="none"/>
          <w:lang w:val="en-US" w:eastAsia="zh-CN" w:bidi="ar"/>
        </w:rPr>
        <w:t>分。具体项目绩效得分见表3</w:t>
      </w:r>
      <w:r>
        <w:rPr>
          <w:rFonts w:hint="eastAsia" w:ascii="仿宋_GB2312" w:hAnsi="仿宋_GB2312" w:eastAsia="仿宋_GB2312" w:cs="仿宋_GB2312"/>
          <w:i w:val="0"/>
          <w:iCs w:val="0"/>
          <w:caps w:val="0"/>
          <w:color w:val="000000"/>
          <w:spacing w:val="0"/>
          <w:kern w:val="0"/>
          <w:sz w:val="28"/>
          <w:szCs w:val="27"/>
          <w:highlight w:val="none"/>
          <w:u w:val="none"/>
          <w:lang w:val="en-US" w:eastAsia="zh-CN" w:bidi="ar"/>
        </w:rPr>
        <w:t>-1。</w:t>
      </w:r>
    </w:p>
    <w:p>
      <w:pPr>
        <w:keepNext w:val="0"/>
        <w:keepLines w:val="0"/>
        <w:pageBreakBefore w:val="0"/>
        <w:widowControl w:val="0"/>
        <w:kinsoku/>
        <w:wordWrap/>
        <w:overflowPunct/>
        <w:topLinePunct w:val="0"/>
        <w:autoSpaceDE/>
        <w:autoSpaceDN/>
        <w:bidi w:val="0"/>
        <w:adjustRightInd w:val="0"/>
        <w:snapToGrid w:val="0"/>
        <w:spacing w:after="157" w:afterLines="50" w:line="240" w:lineRule="auto"/>
        <w:ind w:left="0" w:leftChars="0" w:firstLine="0" w:firstLineChars="0"/>
        <w:jc w:val="center"/>
        <w:textAlignment w:val="auto"/>
        <w:outlineLvl w:val="9"/>
        <w:rPr>
          <w:rFonts w:hint="eastAsia" w:ascii="仿宋_GB2312" w:eastAsia="仿宋_GB2312" w:hAnsiTheme="minorHAnsi"/>
          <w:sz w:val="28"/>
          <w:highlight w:val="none"/>
        </w:rPr>
      </w:pPr>
      <w:r>
        <w:rPr>
          <w:rFonts w:hint="eastAsia" w:ascii="宋体" w:hAnsi="宋体" w:eastAsia="宋体" w:cs="宋体"/>
          <w:sz w:val="28"/>
          <w:highlight w:val="none"/>
        </w:rPr>
        <w:t>表3-1 项目总体绩效评价评分表</w:t>
      </w:r>
    </w:p>
    <w:tbl>
      <w:tblPr>
        <w:tblStyle w:val="14"/>
        <w:tblW w:w="8616" w:type="dxa"/>
        <w:jc w:val="center"/>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154"/>
        <w:gridCol w:w="2154"/>
        <w:gridCol w:w="2154"/>
        <w:gridCol w:w="2154"/>
      </w:tblGrid>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2154" w:type="dxa"/>
            <w:tcBorders>
              <w:top w:val="double" w:color="auto" w:sz="4" w:space="0"/>
              <w:left w:val="nil"/>
            </w:tcBorders>
            <w:shd w:val="clear" w:color="auto" w:fill="BEBEBE" w:themeFill="background1" w:themeFillShade="BF"/>
            <w:vAlign w:val="center"/>
          </w:tcPr>
          <w:p>
            <w:pPr>
              <w:spacing w:line="240" w:lineRule="auto"/>
              <w:ind w:firstLine="0" w:firstLineChars="0"/>
              <w:jc w:val="center"/>
              <w:rPr>
                <w:rFonts w:ascii="宋体" w:hAnsi="宋体" w:eastAsia="宋体"/>
                <w:b/>
                <w:bCs/>
                <w:sz w:val="24"/>
                <w:highlight w:val="none"/>
              </w:rPr>
            </w:pPr>
            <w:r>
              <w:rPr>
                <w:rFonts w:hint="eastAsia" w:ascii="宋体" w:hAnsi="宋体" w:eastAsia="宋体"/>
                <w:b/>
                <w:bCs/>
                <w:sz w:val="24"/>
                <w:highlight w:val="none"/>
              </w:rPr>
              <w:t>一级指标</w:t>
            </w:r>
          </w:p>
        </w:tc>
        <w:tc>
          <w:tcPr>
            <w:tcW w:w="2154"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highlight w:val="none"/>
              </w:rPr>
            </w:pPr>
            <w:r>
              <w:rPr>
                <w:rFonts w:hint="eastAsia" w:ascii="宋体" w:hAnsi="宋体" w:eastAsia="宋体"/>
                <w:b/>
                <w:bCs/>
                <w:sz w:val="24"/>
                <w:highlight w:val="none"/>
              </w:rPr>
              <w:t>权重</w:t>
            </w:r>
          </w:p>
        </w:tc>
        <w:tc>
          <w:tcPr>
            <w:tcW w:w="2154" w:type="dxa"/>
            <w:tcBorders>
              <w:top w:val="double" w:color="auto" w:sz="4" w:space="0"/>
            </w:tcBorders>
            <w:shd w:val="clear" w:color="auto" w:fill="BEBEBE" w:themeFill="background1" w:themeFillShade="BF"/>
            <w:vAlign w:val="center"/>
          </w:tcPr>
          <w:p>
            <w:pPr>
              <w:spacing w:line="240" w:lineRule="auto"/>
              <w:ind w:firstLine="0" w:firstLineChars="0"/>
              <w:jc w:val="center"/>
              <w:rPr>
                <w:rFonts w:ascii="宋体" w:hAnsi="宋体" w:eastAsia="宋体"/>
                <w:b/>
                <w:bCs/>
                <w:sz w:val="24"/>
                <w:highlight w:val="none"/>
              </w:rPr>
            </w:pPr>
            <w:r>
              <w:rPr>
                <w:rFonts w:hint="eastAsia" w:ascii="宋体" w:hAnsi="宋体" w:eastAsia="宋体"/>
                <w:b/>
                <w:bCs/>
                <w:sz w:val="24"/>
                <w:highlight w:val="none"/>
              </w:rPr>
              <w:t>得分</w:t>
            </w:r>
          </w:p>
        </w:tc>
        <w:tc>
          <w:tcPr>
            <w:tcW w:w="2154" w:type="dxa"/>
            <w:tcBorders>
              <w:top w:val="double" w:color="auto" w:sz="4" w:space="0"/>
              <w:right w:val="nil"/>
            </w:tcBorders>
            <w:shd w:val="clear" w:color="auto" w:fill="BEBEBE" w:themeFill="background1" w:themeFillShade="BF"/>
            <w:vAlign w:val="center"/>
          </w:tcPr>
          <w:p>
            <w:pPr>
              <w:spacing w:line="240" w:lineRule="auto"/>
              <w:ind w:firstLine="0" w:firstLineChars="0"/>
              <w:jc w:val="center"/>
              <w:rPr>
                <w:rFonts w:hint="eastAsia" w:ascii="宋体" w:hAnsi="宋体" w:eastAsia="宋体"/>
                <w:b/>
                <w:bCs/>
                <w:sz w:val="24"/>
                <w:highlight w:val="none"/>
                <w:lang w:eastAsia="zh-CN"/>
              </w:rPr>
            </w:pPr>
            <w:r>
              <w:rPr>
                <w:rFonts w:hint="eastAsia" w:ascii="宋体" w:hAnsi="宋体" w:eastAsia="宋体"/>
                <w:b/>
                <w:bCs/>
                <w:sz w:val="24"/>
                <w:highlight w:val="none"/>
              </w:rPr>
              <w:t>得分率</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highlight w:val="none"/>
              </w:rPr>
            </w:pPr>
            <w:r>
              <w:rPr>
                <w:rFonts w:hint="eastAsia" w:ascii="宋体" w:hAnsi="宋体" w:eastAsia="宋体"/>
                <w:sz w:val="24"/>
                <w:highlight w:val="none"/>
              </w:rPr>
              <w:t>决策</w:t>
            </w:r>
          </w:p>
        </w:tc>
        <w:tc>
          <w:tcPr>
            <w:tcW w:w="2154" w:type="dxa"/>
            <w:vAlign w:val="center"/>
          </w:tcPr>
          <w:p>
            <w:pPr>
              <w:widowControl/>
              <w:spacing w:after="0" w:line="240" w:lineRule="auto"/>
              <w:ind w:firstLine="0" w:firstLineChars="0"/>
              <w:jc w:val="center"/>
              <w:rPr>
                <w:rFonts w:ascii="宋体" w:hAnsi="宋体" w:eastAsia="宋体"/>
                <w:sz w:val="24"/>
                <w:highlight w:val="none"/>
              </w:rPr>
            </w:pPr>
            <w:r>
              <w:rPr>
                <w:rFonts w:hint="default" w:ascii="宋体" w:hAnsi="宋体" w:eastAsia="宋体" w:cs="宋体"/>
                <w:color w:val="auto"/>
                <w:kern w:val="0"/>
                <w:sz w:val="24"/>
                <w:szCs w:val="24"/>
                <w:highlight w:val="none"/>
              </w:rPr>
              <w:fldChar w:fldCharType="begin"/>
            </w:r>
            <w:r>
              <w:rPr>
                <w:rFonts w:hint="default" w:ascii="宋体" w:hAnsi="宋体" w:eastAsia="宋体" w:cs="宋体"/>
                <w:color w:val="auto"/>
                <w:kern w:val="0"/>
                <w:sz w:val="24"/>
                <w:szCs w:val="24"/>
                <w:highlight w:val="none"/>
              </w:rPr>
              <w:instrText xml:space="preserve"> =SUM(ABOVE) \* MERGEFORMAT </w:instrText>
            </w:r>
            <w:r>
              <w:rPr>
                <w:rFonts w:hint="default" w:ascii="宋体" w:hAnsi="宋体" w:eastAsia="宋体" w:cs="宋体"/>
                <w:color w:val="auto"/>
                <w:kern w:val="0"/>
                <w:sz w:val="24"/>
                <w:szCs w:val="24"/>
                <w:highlight w:val="none"/>
              </w:rPr>
              <w:fldChar w:fldCharType="separate"/>
            </w:r>
            <w:r>
              <w:rPr>
                <w:rFonts w:hint="default" w:ascii="宋体" w:hAnsi="宋体" w:eastAsia="宋体" w:cs="宋体"/>
                <w:color w:val="auto"/>
                <w:kern w:val="0"/>
                <w:sz w:val="24"/>
                <w:szCs w:val="24"/>
                <w:highlight w:val="none"/>
              </w:rPr>
              <w:t>20</w:t>
            </w:r>
            <w:r>
              <w:rPr>
                <w:rFonts w:hint="default" w:ascii="宋体" w:hAnsi="宋体" w:eastAsia="宋体" w:cs="宋体"/>
                <w:color w:val="auto"/>
                <w:kern w:val="0"/>
                <w:sz w:val="24"/>
                <w:szCs w:val="24"/>
                <w:highlight w:val="none"/>
              </w:rPr>
              <w:fldChar w:fldCharType="end"/>
            </w:r>
          </w:p>
        </w:tc>
        <w:tc>
          <w:tcPr>
            <w:tcW w:w="2154" w:type="dxa"/>
            <w:vAlign w:val="center"/>
          </w:tcPr>
          <w:p>
            <w:pPr>
              <w:widowControl/>
              <w:spacing w:after="0" w:line="240" w:lineRule="auto"/>
              <w:ind w:firstLine="0" w:firstLineChars="0"/>
              <w:jc w:val="center"/>
              <w:rPr>
                <w:rFonts w:hint="default" w:ascii="宋体" w:hAnsi="宋体" w:eastAsia="宋体"/>
                <w:sz w:val="24"/>
                <w:highlight w:val="none"/>
                <w:lang w:val="en-US" w:eastAsia="zh-CN"/>
              </w:rPr>
            </w:pPr>
            <w:r>
              <w:rPr>
                <w:rFonts w:hint="default" w:ascii="宋体" w:hAnsi="宋体" w:eastAsia="宋体" w:cs="宋体"/>
                <w:color w:val="auto"/>
                <w:kern w:val="0"/>
                <w:sz w:val="24"/>
                <w:szCs w:val="24"/>
                <w:highlight w:val="none"/>
              </w:rPr>
              <w:fldChar w:fldCharType="begin"/>
            </w:r>
            <w:r>
              <w:rPr>
                <w:rFonts w:hint="default" w:ascii="宋体" w:hAnsi="宋体" w:eastAsia="宋体" w:cs="宋体"/>
                <w:color w:val="auto"/>
                <w:kern w:val="0"/>
                <w:sz w:val="24"/>
                <w:szCs w:val="24"/>
                <w:highlight w:val="none"/>
              </w:rPr>
              <w:instrText xml:space="preserve"> =SUM(ABOVE) \* MERGEFORMAT </w:instrText>
            </w:r>
            <w:r>
              <w:rPr>
                <w:rFonts w:hint="default" w:ascii="宋体" w:hAnsi="宋体" w:eastAsia="宋体" w:cs="宋体"/>
                <w:color w:val="auto"/>
                <w:kern w:val="0"/>
                <w:sz w:val="24"/>
                <w:szCs w:val="24"/>
                <w:highlight w:val="none"/>
              </w:rPr>
              <w:fldChar w:fldCharType="separate"/>
            </w:r>
            <w:r>
              <w:rPr>
                <w:rFonts w:hint="default" w:ascii="宋体" w:hAnsi="宋体" w:eastAsia="宋体" w:cs="宋体"/>
                <w:color w:val="auto"/>
                <w:kern w:val="0"/>
                <w:sz w:val="24"/>
                <w:szCs w:val="24"/>
                <w:highlight w:val="none"/>
              </w:rPr>
              <w:t>17.5</w:t>
            </w:r>
            <w:r>
              <w:rPr>
                <w:rFonts w:hint="default" w:ascii="宋体" w:hAnsi="宋体" w:eastAsia="宋体" w:cs="宋体"/>
                <w:color w:val="auto"/>
                <w:kern w:val="0"/>
                <w:sz w:val="24"/>
                <w:szCs w:val="24"/>
                <w:highlight w:val="none"/>
              </w:rPr>
              <w:fldChar w:fldCharType="end"/>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sz w:val="24"/>
                <w:highlight w:val="none"/>
                <w:lang w:val="en-US" w:eastAsia="zh-CN"/>
              </w:rPr>
            </w:pPr>
            <w:r>
              <w:rPr>
                <w:rFonts w:hint="eastAsia" w:ascii="宋体" w:hAnsi="宋体" w:eastAsia="宋体" w:cs="宋体"/>
                <w:i w:val="0"/>
                <w:iCs w:val="0"/>
                <w:color w:val="000000"/>
                <w:kern w:val="0"/>
                <w:sz w:val="24"/>
                <w:szCs w:val="24"/>
                <w:highlight w:val="none"/>
                <w:u w:val="none"/>
                <w:lang w:val="en-US" w:eastAsia="zh-CN" w:bidi="ar"/>
              </w:rPr>
              <w:t>87.5%</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highlight w:val="none"/>
              </w:rPr>
            </w:pPr>
            <w:r>
              <w:rPr>
                <w:rFonts w:hint="eastAsia" w:ascii="宋体" w:hAnsi="宋体" w:eastAsia="宋体"/>
                <w:sz w:val="24"/>
                <w:highlight w:val="none"/>
              </w:rPr>
              <w:t>过程</w:t>
            </w:r>
          </w:p>
        </w:tc>
        <w:tc>
          <w:tcPr>
            <w:tcW w:w="2154" w:type="dxa"/>
            <w:vAlign w:val="center"/>
          </w:tcPr>
          <w:p>
            <w:pPr>
              <w:widowControl/>
              <w:spacing w:after="0" w:line="240" w:lineRule="auto"/>
              <w:ind w:firstLine="0" w:firstLineChars="0"/>
              <w:jc w:val="center"/>
              <w:rPr>
                <w:rFonts w:ascii="宋体" w:hAnsi="宋体" w:eastAsia="宋体"/>
                <w:sz w:val="24"/>
                <w:highlight w:val="none"/>
              </w:rPr>
            </w:pPr>
            <w:r>
              <w:rPr>
                <w:rFonts w:hint="default" w:ascii="宋体" w:hAnsi="宋体" w:eastAsia="宋体" w:cs="宋体"/>
                <w:color w:val="auto"/>
                <w:kern w:val="0"/>
                <w:sz w:val="24"/>
                <w:szCs w:val="24"/>
                <w:highlight w:val="none"/>
                <w:lang w:eastAsia="zh-CN"/>
              </w:rPr>
              <w:fldChar w:fldCharType="begin"/>
            </w:r>
            <w:r>
              <w:rPr>
                <w:rFonts w:hint="default" w:ascii="宋体" w:hAnsi="宋体" w:eastAsia="宋体" w:cs="宋体"/>
                <w:color w:val="auto"/>
                <w:kern w:val="0"/>
                <w:sz w:val="24"/>
                <w:szCs w:val="24"/>
                <w:highlight w:val="none"/>
                <w:lang w:eastAsia="zh-CN"/>
              </w:rPr>
              <w:instrText xml:space="preserve"> =SUM(ABOVE) \* MERGEFORMAT </w:instrText>
            </w:r>
            <w:r>
              <w:rPr>
                <w:rFonts w:hint="default" w:ascii="宋体" w:hAnsi="宋体" w:eastAsia="宋体" w:cs="宋体"/>
                <w:color w:val="auto"/>
                <w:kern w:val="0"/>
                <w:sz w:val="24"/>
                <w:szCs w:val="24"/>
                <w:highlight w:val="none"/>
                <w:lang w:eastAsia="zh-CN"/>
              </w:rPr>
              <w:fldChar w:fldCharType="separate"/>
            </w:r>
            <w:r>
              <w:rPr>
                <w:rFonts w:hint="default" w:ascii="宋体" w:hAnsi="宋体" w:eastAsia="宋体" w:cs="宋体"/>
                <w:color w:val="auto"/>
                <w:kern w:val="0"/>
                <w:sz w:val="24"/>
                <w:szCs w:val="24"/>
                <w:highlight w:val="none"/>
                <w:lang w:eastAsia="zh-CN"/>
              </w:rPr>
              <w:t>20</w:t>
            </w:r>
            <w:r>
              <w:rPr>
                <w:rFonts w:hint="default" w:ascii="宋体" w:hAnsi="宋体" w:eastAsia="宋体" w:cs="宋体"/>
                <w:color w:val="auto"/>
                <w:kern w:val="0"/>
                <w:sz w:val="24"/>
                <w:szCs w:val="24"/>
                <w:highlight w:val="none"/>
                <w:lang w:eastAsia="zh-CN"/>
              </w:rPr>
              <w:fldChar w:fldCharType="end"/>
            </w:r>
          </w:p>
        </w:tc>
        <w:tc>
          <w:tcPr>
            <w:tcW w:w="2154" w:type="dxa"/>
            <w:vAlign w:val="center"/>
          </w:tcPr>
          <w:p>
            <w:pPr>
              <w:widowControl/>
              <w:spacing w:after="0" w:line="240" w:lineRule="auto"/>
              <w:ind w:firstLine="0" w:firstLineChars="0"/>
              <w:jc w:val="center"/>
              <w:rPr>
                <w:rFonts w:hint="default" w:ascii="宋体" w:hAnsi="宋体" w:eastAsia="宋体"/>
                <w:sz w:val="24"/>
                <w:highlight w:val="none"/>
                <w:lang w:val="en-US" w:eastAsia="zh-CN"/>
              </w:rPr>
            </w:pPr>
            <w:r>
              <w:rPr>
                <w:rFonts w:hint="default" w:ascii="宋体" w:hAnsi="宋体" w:eastAsia="宋体" w:cs="宋体"/>
                <w:color w:val="auto"/>
                <w:kern w:val="0"/>
                <w:sz w:val="24"/>
                <w:szCs w:val="24"/>
                <w:highlight w:val="none"/>
                <w:lang w:eastAsia="zh-CN"/>
              </w:rPr>
              <w:fldChar w:fldCharType="begin"/>
            </w:r>
            <w:r>
              <w:rPr>
                <w:rFonts w:hint="default" w:ascii="宋体" w:hAnsi="宋体" w:eastAsia="宋体" w:cs="宋体"/>
                <w:color w:val="auto"/>
                <w:kern w:val="0"/>
                <w:sz w:val="24"/>
                <w:szCs w:val="24"/>
                <w:highlight w:val="none"/>
                <w:lang w:eastAsia="zh-CN"/>
              </w:rPr>
              <w:instrText xml:space="preserve"> =SUM(ABOVE) \* MERGEFORMAT </w:instrText>
            </w:r>
            <w:r>
              <w:rPr>
                <w:rFonts w:hint="default" w:ascii="宋体" w:hAnsi="宋体" w:eastAsia="宋体" w:cs="宋体"/>
                <w:color w:val="auto"/>
                <w:kern w:val="0"/>
                <w:sz w:val="24"/>
                <w:szCs w:val="24"/>
                <w:highlight w:val="none"/>
                <w:lang w:eastAsia="zh-CN"/>
              </w:rPr>
              <w:fldChar w:fldCharType="separate"/>
            </w:r>
            <w:r>
              <w:rPr>
                <w:rFonts w:hint="default" w:ascii="宋体" w:hAnsi="宋体" w:eastAsia="宋体" w:cs="宋体"/>
                <w:color w:val="auto"/>
                <w:kern w:val="0"/>
                <w:sz w:val="24"/>
                <w:szCs w:val="24"/>
                <w:highlight w:val="none"/>
                <w:lang w:eastAsia="zh-CN"/>
              </w:rPr>
              <w:t>18</w:t>
            </w:r>
            <w:r>
              <w:rPr>
                <w:rFonts w:hint="default" w:ascii="宋体" w:hAnsi="宋体" w:eastAsia="宋体" w:cs="宋体"/>
                <w:color w:val="auto"/>
                <w:kern w:val="0"/>
                <w:sz w:val="24"/>
                <w:szCs w:val="24"/>
                <w:highlight w:val="none"/>
                <w:lang w:eastAsia="zh-CN"/>
              </w:rPr>
              <w:fldChar w:fldCharType="end"/>
            </w:r>
          </w:p>
        </w:tc>
        <w:tc>
          <w:tcPr>
            <w:tcW w:w="2154" w:type="dxa"/>
            <w:tcBorders>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宋体" w:hAnsi="宋体" w:eastAsia="宋体"/>
                <w:sz w:val="24"/>
                <w:highlight w:val="none"/>
                <w:lang w:val="en-US"/>
              </w:rPr>
            </w:pPr>
            <w:r>
              <w:rPr>
                <w:rFonts w:hint="eastAsia" w:ascii="宋体" w:hAnsi="宋体" w:eastAsia="宋体" w:cs="宋体"/>
                <w:i w:val="0"/>
                <w:iCs w:val="0"/>
                <w:color w:val="000000"/>
                <w:kern w:val="0"/>
                <w:sz w:val="24"/>
                <w:szCs w:val="24"/>
                <w:highlight w:val="none"/>
                <w:u w:val="none"/>
                <w:lang w:val="en-US" w:eastAsia="zh-CN" w:bidi="ar"/>
              </w:rPr>
              <w:t>90%</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highlight w:val="none"/>
              </w:rPr>
            </w:pPr>
            <w:r>
              <w:rPr>
                <w:rFonts w:hint="eastAsia" w:ascii="宋体" w:hAnsi="宋体" w:eastAsia="宋体"/>
                <w:sz w:val="24"/>
                <w:highlight w:val="none"/>
              </w:rPr>
              <w:t>产出</w:t>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ascii="宋体" w:hAnsi="宋体" w:eastAsia="宋体"/>
                <w:sz w:val="24"/>
                <w:highlight w:val="none"/>
              </w:rPr>
            </w:pPr>
            <w:r>
              <w:rPr>
                <w:rFonts w:hint="default" w:cs="宋体"/>
                <w:sz w:val="24"/>
                <w:szCs w:val="24"/>
                <w:highlight w:val="none"/>
                <w:lang w:eastAsia="zh-CN"/>
              </w:rPr>
              <w:fldChar w:fldCharType="begin"/>
            </w:r>
            <w:r>
              <w:rPr>
                <w:rFonts w:hint="default" w:cs="宋体"/>
                <w:sz w:val="24"/>
                <w:szCs w:val="24"/>
                <w:highlight w:val="none"/>
                <w:lang w:eastAsia="zh-CN"/>
              </w:rPr>
              <w:instrText xml:space="preserve"> =SUM(ABOVE) \* MERGEFORMAT </w:instrText>
            </w:r>
            <w:r>
              <w:rPr>
                <w:rFonts w:hint="default" w:cs="宋体"/>
                <w:sz w:val="24"/>
                <w:szCs w:val="24"/>
                <w:highlight w:val="none"/>
                <w:lang w:eastAsia="zh-CN"/>
              </w:rPr>
              <w:fldChar w:fldCharType="separate"/>
            </w:r>
            <w:r>
              <w:rPr>
                <w:rFonts w:hint="default" w:cs="宋体"/>
                <w:sz w:val="24"/>
                <w:szCs w:val="24"/>
                <w:highlight w:val="none"/>
                <w:lang w:eastAsia="zh-CN"/>
              </w:rPr>
              <w:t>30</w:t>
            </w:r>
            <w:r>
              <w:rPr>
                <w:rFonts w:hint="default" w:cs="宋体"/>
                <w:sz w:val="24"/>
                <w:szCs w:val="24"/>
                <w:highlight w:val="none"/>
                <w:lang w:eastAsia="zh-CN"/>
              </w:rPr>
              <w:fldChar w:fldCharType="end"/>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highlight w:val="none"/>
                <w:lang w:val="en-US" w:eastAsia="zh-CN"/>
              </w:rPr>
            </w:pPr>
            <w:r>
              <w:rPr>
                <w:rFonts w:hint="default" w:ascii="宋体" w:hAnsi="宋体" w:eastAsia="宋体" w:cs="宋体"/>
                <w:sz w:val="24"/>
                <w:szCs w:val="24"/>
                <w:highlight w:val="none"/>
              </w:rPr>
              <w:fldChar w:fldCharType="begin"/>
            </w:r>
            <w:r>
              <w:rPr>
                <w:rFonts w:hint="default" w:ascii="宋体" w:hAnsi="宋体" w:eastAsia="宋体" w:cs="宋体"/>
                <w:sz w:val="24"/>
                <w:szCs w:val="24"/>
                <w:highlight w:val="none"/>
              </w:rPr>
              <w:instrText xml:space="preserve"> =SUM(ABOVE) \* MERGEFORMAT </w:instrText>
            </w:r>
            <w:r>
              <w:rPr>
                <w:rFonts w:hint="default" w:ascii="宋体" w:hAnsi="宋体" w:eastAsia="宋体" w:cs="宋体"/>
                <w:sz w:val="24"/>
                <w:szCs w:val="24"/>
                <w:highlight w:val="none"/>
              </w:rPr>
              <w:fldChar w:fldCharType="separate"/>
            </w:r>
            <w:r>
              <w:rPr>
                <w:rFonts w:hint="default" w:ascii="宋体" w:hAnsi="宋体" w:eastAsia="宋体" w:cs="宋体"/>
                <w:sz w:val="24"/>
                <w:szCs w:val="24"/>
                <w:highlight w:val="none"/>
              </w:rPr>
              <w:t>17.33</w:t>
            </w:r>
            <w:r>
              <w:rPr>
                <w:rFonts w:hint="default" w:ascii="宋体" w:hAnsi="宋体" w:eastAsia="宋体" w:cs="宋体"/>
                <w:sz w:val="24"/>
                <w:szCs w:val="24"/>
                <w:highlight w:val="none"/>
              </w:rPr>
              <w:fldChar w:fldCharType="end"/>
            </w:r>
          </w:p>
        </w:tc>
        <w:tc>
          <w:tcPr>
            <w:tcW w:w="2154" w:type="dxa"/>
            <w:tcBorders>
              <w:right w:val="nil"/>
            </w:tcBorders>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highlight w:val="none"/>
                <w:lang w:val="en-US" w:eastAsia="zh-CN"/>
              </w:rPr>
            </w:pPr>
            <w:r>
              <w:rPr>
                <w:rFonts w:hint="eastAsia" w:cs="宋体"/>
                <w:sz w:val="24"/>
                <w:szCs w:val="24"/>
                <w:highlight w:val="none"/>
                <w:lang w:val="en-US" w:eastAsia="zh-CN"/>
              </w:rPr>
              <w:t>57.77%</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tcBorders>
            <w:vAlign w:val="center"/>
          </w:tcPr>
          <w:p>
            <w:pPr>
              <w:spacing w:line="240" w:lineRule="auto"/>
              <w:ind w:firstLine="0" w:firstLineChars="0"/>
              <w:jc w:val="center"/>
              <w:rPr>
                <w:rFonts w:ascii="宋体" w:hAnsi="宋体" w:eastAsia="宋体"/>
                <w:sz w:val="24"/>
                <w:highlight w:val="none"/>
              </w:rPr>
            </w:pPr>
            <w:r>
              <w:rPr>
                <w:rFonts w:hint="eastAsia" w:ascii="宋体" w:hAnsi="宋体" w:eastAsia="宋体"/>
                <w:sz w:val="24"/>
                <w:highlight w:val="none"/>
              </w:rPr>
              <w:t>效益</w:t>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ascii="宋体" w:hAnsi="宋体" w:eastAsia="宋体"/>
                <w:sz w:val="24"/>
                <w:highlight w:val="none"/>
              </w:rPr>
            </w:pPr>
            <w:r>
              <w:rPr>
                <w:rFonts w:hint="eastAsia" w:ascii="宋体" w:hAnsi="宋体" w:eastAsia="宋体" w:cs="宋体"/>
                <w:sz w:val="24"/>
                <w:szCs w:val="24"/>
                <w:highlight w:val="none"/>
                <w:lang w:eastAsia="zh-CN"/>
              </w:rPr>
              <w:fldChar w:fldCharType="begin"/>
            </w:r>
            <w:r>
              <w:rPr>
                <w:rFonts w:hint="eastAsia" w:ascii="宋体" w:hAnsi="宋体" w:eastAsia="宋体" w:cs="宋体"/>
                <w:sz w:val="24"/>
                <w:szCs w:val="24"/>
                <w:highlight w:val="none"/>
                <w:lang w:eastAsia="zh-CN"/>
              </w:rPr>
              <w:instrText xml:space="preserve"> =SUM(ABOVE) \* MERGEFORMAT </w:instrText>
            </w:r>
            <w:r>
              <w:rPr>
                <w:rFonts w:hint="eastAsia" w:ascii="宋体" w:hAnsi="宋体" w:eastAsia="宋体" w:cs="宋体"/>
                <w:sz w:val="24"/>
                <w:szCs w:val="24"/>
                <w:highlight w:val="none"/>
                <w:lang w:eastAsia="zh-CN"/>
              </w:rPr>
              <w:fldChar w:fldCharType="separate"/>
            </w:r>
            <w:r>
              <w:rPr>
                <w:rFonts w:hint="eastAsia" w:ascii="宋体" w:hAnsi="宋体" w:eastAsia="宋体" w:cs="宋体"/>
                <w:sz w:val="24"/>
                <w:szCs w:val="24"/>
                <w:highlight w:val="none"/>
                <w:lang w:eastAsia="zh-CN"/>
              </w:rPr>
              <w:t>30</w:t>
            </w:r>
            <w:r>
              <w:rPr>
                <w:rFonts w:hint="eastAsia" w:ascii="宋体" w:hAnsi="宋体" w:eastAsia="宋体" w:cs="宋体"/>
                <w:sz w:val="24"/>
                <w:szCs w:val="24"/>
                <w:highlight w:val="none"/>
                <w:lang w:eastAsia="zh-CN"/>
              </w:rPr>
              <w:fldChar w:fldCharType="end"/>
            </w:r>
          </w:p>
        </w:tc>
        <w:tc>
          <w:tcPr>
            <w:tcW w:w="2154"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highlight w:val="none"/>
                <w:lang w:val="en-US" w:eastAsia="zh-CN"/>
              </w:rPr>
            </w:pPr>
            <w:r>
              <w:rPr>
                <w:rFonts w:hint="default" w:ascii="宋体" w:hAnsi="宋体" w:eastAsia="宋体" w:cs="宋体"/>
                <w:sz w:val="24"/>
                <w:szCs w:val="24"/>
                <w:highlight w:val="none"/>
              </w:rPr>
              <w:fldChar w:fldCharType="begin"/>
            </w:r>
            <w:r>
              <w:rPr>
                <w:rFonts w:hint="default" w:ascii="宋体" w:hAnsi="宋体" w:eastAsia="宋体" w:cs="宋体"/>
                <w:sz w:val="24"/>
                <w:szCs w:val="24"/>
                <w:highlight w:val="none"/>
              </w:rPr>
              <w:instrText xml:space="preserve"> =SUM(ABOVE) \* MERGEFORMAT </w:instrText>
            </w:r>
            <w:r>
              <w:rPr>
                <w:rFonts w:hint="default" w:ascii="宋体" w:hAnsi="宋体" w:eastAsia="宋体" w:cs="宋体"/>
                <w:sz w:val="24"/>
                <w:szCs w:val="24"/>
                <w:highlight w:val="none"/>
              </w:rPr>
              <w:fldChar w:fldCharType="separate"/>
            </w:r>
            <w:r>
              <w:rPr>
                <w:rFonts w:hint="default" w:ascii="宋体" w:hAnsi="宋体" w:eastAsia="宋体" w:cs="宋体"/>
                <w:sz w:val="24"/>
                <w:szCs w:val="24"/>
                <w:highlight w:val="none"/>
              </w:rPr>
              <w:t>27.67</w:t>
            </w:r>
            <w:r>
              <w:rPr>
                <w:rFonts w:hint="default" w:ascii="宋体" w:hAnsi="宋体" w:eastAsia="宋体" w:cs="宋体"/>
                <w:sz w:val="24"/>
                <w:szCs w:val="24"/>
                <w:highlight w:val="none"/>
              </w:rPr>
              <w:fldChar w:fldCharType="end"/>
            </w:r>
          </w:p>
        </w:tc>
        <w:tc>
          <w:tcPr>
            <w:tcW w:w="2154" w:type="dxa"/>
            <w:tcBorders>
              <w:right w:val="nil"/>
            </w:tcBorders>
            <w:vAlign w:val="center"/>
          </w:tcPr>
          <w:p>
            <w:pPr>
              <w:pStyle w:val="21"/>
              <w:keepNext w:val="0"/>
              <w:keepLines w:val="0"/>
              <w:pageBreakBefore w:val="0"/>
              <w:widowControl w:val="0"/>
              <w:kinsoku/>
              <w:wordWrap/>
              <w:overflowPunct/>
              <w:topLinePunct w:val="0"/>
              <w:autoSpaceDE/>
              <w:autoSpaceDN/>
              <w:bidi w:val="0"/>
              <w:adjustRightInd w:val="0"/>
              <w:snapToGrid w:val="0"/>
              <w:spacing w:before="0" w:line="240" w:lineRule="auto"/>
              <w:ind w:left="0" w:leftChars="0" w:right="0" w:rightChars="0" w:firstLine="0" w:firstLineChars="0"/>
              <w:jc w:val="center"/>
              <w:textAlignment w:val="auto"/>
              <w:rPr>
                <w:rFonts w:hint="default" w:ascii="宋体" w:hAnsi="宋体" w:eastAsia="宋体"/>
                <w:sz w:val="24"/>
                <w:highlight w:val="none"/>
                <w:lang w:val="en-US"/>
              </w:rPr>
            </w:pPr>
            <w:r>
              <w:rPr>
                <w:rFonts w:hint="eastAsia" w:cs="宋体"/>
                <w:sz w:val="24"/>
                <w:szCs w:val="24"/>
                <w:highlight w:val="none"/>
                <w:lang w:val="en-US" w:eastAsia="zh-CN"/>
              </w:rPr>
              <w:t>92.23</w:t>
            </w:r>
            <w:r>
              <w:rPr>
                <w:rFonts w:hint="eastAsia" w:ascii="宋体" w:hAnsi="宋体" w:eastAsia="宋体" w:cs="宋体"/>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2154" w:type="dxa"/>
            <w:tcBorders>
              <w:left w:val="nil"/>
              <w:bottom w:val="double" w:color="auto" w:sz="4" w:space="0"/>
            </w:tcBorders>
            <w:vAlign w:val="center"/>
          </w:tcPr>
          <w:p>
            <w:pPr>
              <w:spacing w:line="240" w:lineRule="auto"/>
              <w:ind w:firstLine="0" w:firstLineChars="0"/>
              <w:jc w:val="center"/>
              <w:rPr>
                <w:rFonts w:ascii="宋体" w:hAnsi="宋体" w:eastAsia="宋体"/>
                <w:sz w:val="24"/>
                <w:highlight w:val="none"/>
              </w:rPr>
            </w:pPr>
            <w:r>
              <w:rPr>
                <w:rFonts w:hint="eastAsia" w:ascii="宋体" w:hAnsi="宋体" w:eastAsia="宋体"/>
                <w:sz w:val="24"/>
                <w:highlight w:val="none"/>
              </w:rPr>
              <w:t>合计</w:t>
            </w:r>
          </w:p>
        </w:tc>
        <w:tc>
          <w:tcPr>
            <w:tcW w:w="2154" w:type="dxa"/>
            <w:tcBorders>
              <w:bottom w:val="double" w:color="auto" w:sz="4" w:space="0"/>
            </w:tcBorders>
            <w:vAlign w:val="center"/>
          </w:tcPr>
          <w:p>
            <w:pPr>
              <w:spacing w:line="240" w:lineRule="auto"/>
              <w:ind w:firstLine="0" w:firstLineChars="0"/>
              <w:jc w:val="center"/>
              <w:rPr>
                <w:rFonts w:ascii="宋体" w:hAnsi="宋体" w:eastAsia="宋体"/>
                <w:sz w:val="24"/>
                <w:highlight w:val="none"/>
              </w:rPr>
            </w:pPr>
            <w:r>
              <w:rPr>
                <w:rFonts w:hint="eastAsia" w:ascii="宋体" w:hAnsi="宋体" w:eastAsia="宋体"/>
                <w:sz w:val="24"/>
                <w:highlight w:val="none"/>
                <w:lang w:bidi="ar"/>
              </w:rPr>
              <w:t>100</w:t>
            </w:r>
          </w:p>
        </w:tc>
        <w:tc>
          <w:tcPr>
            <w:tcW w:w="2154" w:type="dxa"/>
            <w:tcBorders>
              <w:bottom w:val="double" w:color="auto" w:sz="4" w:space="0"/>
            </w:tcBorders>
            <w:vAlign w:val="center"/>
          </w:tcPr>
          <w:p>
            <w:pPr>
              <w:spacing w:line="240" w:lineRule="auto"/>
              <w:ind w:firstLine="0" w:firstLineChars="0"/>
              <w:jc w:val="center"/>
              <w:rPr>
                <w:rFonts w:hint="default" w:ascii="宋体" w:hAnsi="宋体" w:eastAsia="宋体"/>
                <w:sz w:val="24"/>
                <w:highlight w:val="none"/>
              </w:rPr>
            </w:pPr>
            <w:r>
              <w:rPr>
                <w:rFonts w:hint="default" w:ascii="宋体" w:hAnsi="宋体" w:eastAsia="宋体"/>
                <w:sz w:val="24"/>
                <w:highlight w:val="none"/>
              </w:rPr>
              <w:fldChar w:fldCharType="begin"/>
            </w:r>
            <w:r>
              <w:rPr>
                <w:rFonts w:hint="default" w:ascii="宋体" w:hAnsi="宋体" w:eastAsia="宋体"/>
                <w:sz w:val="24"/>
                <w:highlight w:val="none"/>
              </w:rPr>
              <w:instrText xml:space="preserve"> =SUM(ABOVE) \* MERGEFORMAT </w:instrText>
            </w:r>
            <w:r>
              <w:rPr>
                <w:rFonts w:hint="default" w:ascii="宋体" w:hAnsi="宋体" w:eastAsia="宋体"/>
                <w:sz w:val="24"/>
                <w:highlight w:val="none"/>
              </w:rPr>
              <w:fldChar w:fldCharType="separate"/>
            </w:r>
            <w:r>
              <w:rPr>
                <w:rFonts w:hint="default" w:ascii="宋体" w:hAnsi="宋体" w:eastAsia="宋体"/>
                <w:sz w:val="24"/>
                <w:highlight w:val="none"/>
              </w:rPr>
              <w:t>80.5</w:t>
            </w:r>
            <w:r>
              <w:rPr>
                <w:rFonts w:hint="default" w:ascii="宋体" w:hAnsi="宋体" w:eastAsia="宋体"/>
                <w:sz w:val="24"/>
                <w:highlight w:val="none"/>
              </w:rPr>
              <w:fldChar w:fldCharType="end"/>
            </w:r>
          </w:p>
        </w:tc>
        <w:tc>
          <w:tcPr>
            <w:tcW w:w="2154" w:type="dxa"/>
            <w:tcBorders>
              <w:bottom w:val="double" w:color="auto" w:sz="4" w:space="0"/>
              <w:right w:val="nil"/>
            </w:tcBorders>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ascii="宋体" w:hAnsi="宋体" w:eastAsia="宋体"/>
                <w:sz w:val="24"/>
                <w:highlight w:val="none"/>
              </w:rPr>
            </w:pPr>
            <w:r>
              <w:rPr>
                <w:rFonts w:hint="default" w:ascii="宋体" w:hAnsi="宋体" w:eastAsia="宋体"/>
                <w:sz w:val="24"/>
                <w:highlight w:val="none"/>
              </w:rPr>
              <w:fldChar w:fldCharType="begin"/>
            </w:r>
            <w:r>
              <w:rPr>
                <w:rFonts w:hint="default" w:ascii="宋体" w:hAnsi="宋体" w:eastAsia="宋体"/>
                <w:sz w:val="24"/>
                <w:highlight w:val="none"/>
              </w:rPr>
              <w:instrText xml:space="preserve"> =SUM(ABOVE) \* MERGEFORMAT </w:instrText>
            </w:r>
            <w:r>
              <w:rPr>
                <w:rFonts w:hint="default" w:ascii="宋体" w:hAnsi="宋体" w:eastAsia="宋体"/>
                <w:sz w:val="24"/>
                <w:highlight w:val="none"/>
              </w:rPr>
              <w:fldChar w:fldCharType="separate"/>
            </w:r>
            <w:r>
              <w:rPr>
                <w:rFonts w:hint="default" w:ascii="宋体" w:hAnsi="宋体" w:eastAsia="宋体"/>
                <w:sz w:val="24"/>
                <w:highlight w:val="none"/>
              </w:rPr>
              <w:t>80.5</w:t>
            </w:r>
            <w:r>
              <w:rPr>
                <w:rFonts w:hint="default" w:ascii="宋体" w:hAnsi="宋体" w:eastAsia="宋体"/>
                <w:sz w:val="24"/>
                <w:highlight w:val="none"/>
              </w:rPr>
              <w:fldChar w:fldCharType="end"/>
            </w:r>
            <w:r>
              <w:rPr>
                <w:rFonts w:hint="eastAsia" w:ascii="宋体" w:hAnsi="宋体" w:eastAsia="宋体" w:cs="宋体"/>
                <w:i w:val="0"/>
                <w:iCs w:val="0"/>
                <w:color w:val="000000"/>
                <w:kern w:val="0"/>
                <w:sz w:val="22"/>
                <w:szCs w:val="22"/>
                <w:highlight w:val="none"/>
                <w:u w:val="none"/>
                <w:lang w:val="en-US" w:eastAsia="zh-CN" w:bidi="ar"/>
              </w:rPr>
              <w:t>%</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560" w:firstLineChars="200"/>
        <w:jc w:val="both"/>
        <w:textAlignment w:val="auto"/>
        <w:outlineLvl w:val="1"/>
        <w:rPr>
          <w:rFonts w:hint="eastAsia" w:ascii="楷体_GB2312" w:hAnsi="楷体_GB2312" w:eastAsia="楷体_GB2312" w:cstheme="minorBidi"/>
          <w:kern w:val="2"/>
          <w:sz w:val="28"/>
          <w:szCs w:val="36"/>
          <w:highlight w:val="none"/>
          <w:lang w:val="en-US" w:eastAsia="zh-CN" w:bidi="ar-SA"/>
        </w:rPr>
      </w:pPr>
      <w:bookmarkStart w:id="60" w:name="_Toc6196"/>
      <w:r>
        <w:rPr>
          <w:rFonts w:hint="eastAsia" w:ascii="楷体_GB2312" w:hAnsi="楷体_GB2312" w:eastAsia="楷体_GB2312" w:cstheme="minorBidi"/>
          <w:kern w:val="2"/>
          <w:sz w:val="28"/>
          <w:szCs w:val="36"/>
          <w:highlight w:val="none"/>
          <w:lang w:val="en-US" w:eastAsia="zh-CN" w:bidi="ar-SA"/>
        </w:rPr>
        <w:t>（二）评价结论</w:t>
      </w:r>
      <w:bookmarkEnd w:id="60"/>
    </w:p>
    <w:p>
      <w:pPr>
        <w:pStyle w:val="2"/>
        <w:keepNext w:val="0"/>
        <w:keepLines w:val="0"/>
        <w:pageBreakBefore w:val="0"/>
        <w:widowControl w:val="0"/>
        <w:kinsoku/>
        <w:wordWrap/>
        <w:overflowPunct/>
        <w:topLinePunct w:val="0"/>
        <w:autoSpaceDE/>
        <w:autoSpaceDN/>
        <w:bidi w:val="0"/>
        <w:adjustRightInd w:val="0"/>
        <w:snapToGrid w:val="0"/>
        <w:spacing w:after="0" w:afterLines="0"/>
        <w:textAlignment w:val="auto"/>
        <w:rPr>
          <w:rFonts w:hint="eastAsia" w:ascii="仿宋_GB2312" w:hAnsi="仿宋_GB2312" w:eastAsia="仿宋_GB2312" w:cs="仿宋_GB2312"/>
          <w:kern w:val="2"/>
          <w:sz w:val="28"/>
          <w:szCs w:val="24"/>
          <w:highlight w:val="none"/>
          <w:lang w:val="en-US" w:eastAsia="zh-CN" w:bidi="ar-SA"/>
        </w:rPr>
      </w:pPr>
      <w:r>
        <w:rPr>
          <w:rFonts w:hint="eastAsia" w:ascii="仿宋_GB2312" w:hAnsi="仿宋_GB2312" w:eastAsia="仿宋_GB2312" w:cs="仿宋_GB2312"/>
          <w:kern w:val="2"/>
          <w:sz w:val="28"/>
          <w:szCs w:val="24"/>
          <w:highlight w:val="none"/>
          <w:lang w:val="en-US" w:eastAsia="zh-CN" w:bidi="ar-SA"/>
        </w:rPr>
        <w:t>从现场调研情况看，</w:t>
      </w:r>
      <w:r>
        <w:rPr>
          <w:rFonts w:hint="eastAsia" w:ascii="仿宋_GB2312" w:hAnsi="仿宋_GB2312" w:eastAsia="仿宋_GB2312" w:cs="仿宋_GB2312"/>
          <w:b w:val="0"/>
          <w:bCs w:val="0"/>
          <w:i w:val="0"/>
          <w:color w:val="000000"/>
          <w:kern w:val="0"/>
          <w:sz w:val="28"/>
          <w:szCs w:val="28"/>
          <w:highlight w:val="none"/>
          <w:u w:val="none"/>
          <w:lang w:val="en-US" w:eastAsia="zh-CN" w:bidi="ar"/>
        </w:rPr>
        <w:t>通过对恢河两侧</w:t>
      </w:r>
      <w:r>
        <w:rPr>
          <w:rFonts w:hint="eastAsia" w:ascii="仿宋_GB2312" w:hAnsi="仿宋_GB2312" w:cs="仿宋_GB2312"/>
          <w:highlight w:val="none"/>
          <w:lang w:eastAsia="zh-CN"/>
        </w:rPr>
        <w:t>边坡、山上农田</w:t>
      </w:r>
      <w:r>
        <w:rPr>
          <w:rFonts w:hint="eastAsia" w:ascii="仿宋_GB2312" w:hAnsi="仿宋_GB2312" w:cs="仿宋_GB2312"/>
          <w:highlight w:val="none"/>
          <w:lang w:val="en-US" w:eastAsia="zh-CN"/>
        </w:rPr>
        <w:t>和</w:t>
      </w:r>
      <w:r>
        <w:rPr>
          <w:rFonts w:hint="eastAsia" w:ascii="仿宋_GB2312" w:hAnsi="仿宋_GB2312" w:cs="仿宋_GB2312"/>
          <w:highlight w:val="none"/>
          <w:lang w:eastAsia="zh-CN"/>
        </w:rPr>
        <w:t>山上林地治理</w:t>
      </w:r>
      <w:r>
        <w:rPr>
          <w:rFonts w:hint="eastAsia" w:ascii="仿宋_GB2312" w:hAnsi="仿宋_GB2312" w:eastAsia="仿宋_GB2312" w:cs="仿宋_GB2312"/>
          <w:b w:val="0"/>
          <w:bCs w:val="0"/>
          <w:i w:val="0"/>
          <w:color w:val="000000"/>
          <w:kern w:val="0"/>
          <w:sz w:val="28"/>
          <w:szCs w:val="28"/>
          <w:highlight w:val="none"/>
          <w:u w:val="none"/>
          <w:lang w:val="en-US" w:eastAsia="zh-CN" w:bidi="ar"/>
        </w:rPr>
        <w:t>，提升恢河两侧森林质量，改善项目区内水土流失的情况，使治理汾河及恢河流域达到蓄水保土、涵养</w:t>
      </w:r>
      <w:r>
        <w:rPr>
          <w:rFonts w:hint="eastAsia" w:ascii="仿宋_GB2312" w:hAnsi="仿宋_GB2312" w:cs="仿宋_GB2312"/>
          <w:b w:val="0"/>
          <w:bCs w:val="0"/>
          <w:i w:val="0"/>
          <w:color w:val="000000"/>
          <w:kern w:val="0"/>
          <w:sz w:val="28"/>
          <w:szCs w:val="28"/>
          <w:highlight w:val="none"/>
          <w:u w:val="none"/>
          <w:lang w:val="en-US" w:eastAsia="zh-CN" w:bidi="ar"/>
        </w:rPr>
        <w:t>水源</w:t>
      </w:r>
      <w:r>
        <w:rPr>
          <w:rFonts w:hint="eastAsia" w:ascii="仿宋_GB2312" w:hAnsi="仿宋_GB2312" w:eastAsia="仿宋_GB2312" w:cs="仿宋_GB2312"/>
          <w:b w:val="0"/>
          <w:bCs w:val="0"/>
          <w:i w:val="0"/>
          <w:color w:val="000000"/>
          <w:kern w:val="0"/>
          <w:sz w:val="28"/>
          <w:szCs w:val="28"/>
          <w:highlight w:val="none"/>
          <w:u w:val="none"/>
          <w:lang w:val="en-US" w:eastAsia="zh-CN" w:bidi="ar"/>
        </w:rPr>
        <w:t>的作用，使汾河源头“水量丰起来、水质好起来、风光美起来”</w:t>
      </w:r>
      <w:r>
        <w:rPr>
          <w:rFonts w:hint="eastAsia" w:ascii="仿宋_GB2312" w:hAnsi="仿宋_GB2312" w:eastAsia="仿宋_GB2312" w:cs="仿宋_GB2312"/>
          <w:kern w:val="2"/>
          <w:sz w:val="28"/>
          <w:szCs w:val="24"/>
          <w:highlight w:val="none"/>
          <w:lang w:val="en-US" w:eastAsia="zh-CN" w:bidi="ar-SA"/>
        </w:rPr>
        <w:t>。从项目</w:t>
      </w:r>
      <w:r>
        <w:rPr>
          <w:rFonts w:hint="eastAsia" w:ascii="仿宋_GB2312" w:hAnsi="仿宋_GB2312" w:cs="仿宋_GB2312"/>
          <w:kern w:val="2"/>
          <w:sz w:val="28"/>
          <w:szCs w:val="24"/>
          <w:highlight w:val="none"/>
          <w:lang w:val="en-US" w:eastAsia="zh-CN" w:bidi="ar-SA"/>
        </w:rPr>
        <w:t>立项，审批</w:t>
      </w:r>
      <w:r>
        <w:rPr>
          <w:rFonts w:hint="eastAsia" w:ascii="仿宋_GB2312" w:hAnsi="仿宋_GB2312" w:eastAsia="仿宋_GB2312" w:cs="仿宋_GB2312"/>
          <w:kern w:val="2"/>
          <w:sz w:val="28"/>
          <w:szCs w:val="24"/>
          <w:highlight w:val="none"/>
          <w:lang w:val="en-US" w:eastAsia="zh-CN" w:bidi="ar-SA"/>
        </w:rPr>
        <w:t>到</w:t>
      </w:r>
      <w:r>
        <w:rPr>
          <w:rFonts w:hint="eastAsia" w:ascii="仿宋_GB2312" w:hAnsi="仿宋_GB2312" w:cs="仿宋_GB2312"/>
          <w:kern w:val="2"/>
          <w:sz w:val="28"/>
          <w:szCs w:val="24"/>
          <w:highlight w:val="none"/>
          <w:lang w:val="en-US" w:eastAsia="zh-CN" w:bidi="ar-SA"/>
        </w:rPr>
        <w:t>实施</w:t>
      </w:r>
      <w:r>
        <w:rPr>
          <w:rFonts w:hint="eastAsia" w:ascii="仿宋_GB2312" w:hAnsi="仿宋_GB2312" w:eastAsia="仿宋_GB2312" w:cs="仿宋_GB2312"/>
          <w:kern w:val="2"/>
          <w:sz w:val="28"/>
          <w:szCs w:val="24"/>
          <w:highlight w:val="none"/>
          <w:lang w:val="en-US" w:eastAsia="zh-CN" w:bidi="ar-SA"/>
        </w:rPr>
        <w:t>的各个环节，</w:t>
      </w:r>
      <w:r>
        <w:rPr>
          <w:rFonts w:hint="eastAsia" w:ascii="仿宋_GB2312" w:hAnsi="仿宋_GB2312" w:cs="仿宋_GB2312"/>
          <w:kern w:val="2"/>
          <w:sz w:val="28"/>
          <w:szCs w:val="24"/>
          <w:highlight w:val="none"/>
          <w:lang w:val="en-US" w:eastAsia="zh-CN" w:bidi="ar-SA"/>
        </w:rPr>
        <w:t>林业局</w:t>
      </w:r>
      <w:r>
        <w:rPr>
          <w:rFonts w:hint="eastAsia" w:ascii="仿宋_GB2312" w:hAnsi="仿宋_GB2312" w:eastAsia="仿宋_GB2312" w:cs="仿宋_GB2312"/>
          <w:kern w:val="2"/>
          <w:sz w:val="28"/>
          <w:szCs w:val="24"/>
          <w:highlight w:val="none"/>
          <w:lang w:val="en-US" w:eastAsia="zh-CN" w:bidi="ar-SA"/>
        </w:rPr>
        <w:t>严格落实项目职责，坚持问题导向和结果导向，认真</w:t>
      </w:r>
      <w:r>
        <w:rPr>
          <w:rFonts w:hint="eastAsia" w:ascii="仿宋_GB2312" w:hAnsi="仿宋_GB2312" w:cs="仿宋_GB2312"/>
          <w:kern w:val="2"/>
          <w:sz w:val="28"/>
          <w:szCs w:val="24"/>
          <w:highlight w:val="none"/>
          <w:lang w:val="en-US" w:eastAsia="zh-CN" w:bidi="ar-SA"/>
        </w:rPr>
        <w:t>监督</w:t>
      </w:r>
      <w:r>
        <w:rPr>
          <w:rFonts w:hint="eastAsia" w:ascii="仿宋_GB2312" w:hAnsi="仿宋_GB2312" w:eastAsia="仿宋_GB2312" w:cs="仿宋_GB2312"/>
          <w:kern w:val="2"/>
          <w:sz w:val="28"/>
          <w:szCs w:val="24"/>
          <w:highlight w:val="none"/>
          <w:lang w:val="en-US" w:eastAsia="zh-CN" w:bidi="ar-SA"/>
        </w:rPr>
        <w:t>检查，强化责任担当，狠抓工作落实，多措并举，为如期完成建设任务提供坚强保障。但在以下几方面存在一些不足：项目实施过程不规范，变更手续不完备</w:t>
      </w:r>
      <w:r>
        <w:rPr>
          <w:rFonts w:hint="eastAsia" w:ascii="仿宋_GB2312" w:hAnsi="仿宋_GB2312" w:cs="仿宋_GB2312"/>
          <w:kern w:val="2"/>
          <w:sz w:val="28"/>
          <w:szCs w:val="24"/>
          <w:highlight w:val="none"/>
          <w:lang w:val="en-US" w:eastAsia="zh-CN" w:bidi="ar-SA"/>
        </w:rPr>
        <w:t>；</w:t>
      </w:r>
      <w:r>
        <w:rPr>
          <w:rFonts w:hint="eastAsia" w:ascii="仿宋_GB2312" w:hAnsi="仿宋_GB2312" w:eastAsia="仿宋_GB2312" w:cs="仿宋_GB2312"/>
          <w:kern w:val="2"/>
          <w:sz w:val="28"/>
          <w:szCs w:val="24"/>
          <w:highlight w:val="none"/>
          <w:lang w:val="en-US" w:eastAsia="zh-CN" w:bidi="ar-SA"/>
        </w:rPr>
        <w:t>个别村落植被存活率不达85%，后期需要补苗。</w:t>
      </w:r>
    </w:p>
    <w:p>
      <w:pPr>
        <w:pStyle w:val="4"/>
        <w:bidi w:val="0"/>
        <w:rPr>
          <w:rFonts w:hint="eastAsia"/>
          <w:lang w:val="en-US" w:eastAsia="zh-CN"/>
        </w:rPr>
      </w:pPr>
      <w:bookmarkStart w:id="61" w:name="_Toc14173"/>
      <w:r>
        <w:rPr>
          <w:rFonts w:hint="eastAsia"/>
          <w:lang w:val="en-US" w:eastAsia="zh-CN"/>
        </w:rPr>
        <w:t>四、存在的问题</w:t>
      </w:r>
      <w:bookmarkEnd w:id="61"/>
    </w:p>
    <w:p>
      <w:pPr>
        <w:keepNext/>
        <w:keepLines/>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1"/>
        <w:rPr>
          <w:rFonts w:hint="eastAsia" w:ascii="楷体" w:hAnsi="楷体" w:eastAsia="楷体_GB2312" w:cs="Times New Roman"/>
          <w:kern w:val="2"/>
          <w:sz w:val="28"/>
          <w:szCs w:val="24"/>
          <w:highlight w:val="none"/>
          <w:lang w:val="en-US" w:eastAsia="zh-CN" w:bidi="ar-SA"/>
        </w:rPr>
      </w:pPr>
      <w:bookmarkStart w:id="62" w:name="_Toc7174"/>
      <w:r>
        <w:rPr>
          <w:rFonts w:hint="eastAsia" w:ascii="楷体" w:hAnsi="楷体" w:eastAsia="楷体_GB2312" w:cs="Times New Roman"/>
          <w:kern w:val="2"/>
          <w:sz w:val="28"/>
          <w:szCs w:val="24"/>
          <w:highlight w:val="none"/>
          <w:lang w:val="en-US" w:eastAsia="zh-CN" w:bidi="ar-SA"/>
        </w:rPr>
        <w:t>（一）项目实施过程不规范，变更手续不完备</w:t>
      </w:r>
      <w:bookmarkEnd w:id="62"/>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outlineLvl w:val="9"/>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cs="仿宋_GB2312"/>
          <w:kern w:val="2"/>
          <w:sz w:val="28"/>
          <w:szCs w:val="28"/>
          <w:highlight w:val="none"/>
          <w:lang w:val="en-US" w:eastAsia="zh-CN" w:bidi="ar-SA"/>
        </w:rPr>
        <w:t>宁武县汾河及恢河流域两侧山体植被恢复与保护项目</w:t>
      </w:r>
      <w:r>
        <w:rPr>
          <w:rFonts w:hint="eastAsia" w:ascii="仿宋_GB2312" w:hAnsi="仿宋_GB2312" w:eastAsia="仿宋_GB2312" w:cs="仿宋_GB2312"/>
          <w:kern w:val="2"/>
          <w:sz w:val="28"/>
          <w:szCs w:val="28"/>
          <w:highlight w:val="none"/>
          <w:lang w:val="en-US" w:eastAsia="zh-CN" w:bidi="ar-SA"/>
        </w:rPr>
        <w:t>在20</w:t>
      </w:r>
      <w:r>
        <w:rPr>
          <w:rFonts w:hint="eastAsia" w:ascii="仿宋_GB2312" w:hAnsi="仿宋_GB2312" w:cs="仿宋_GB2312"/>
          <w:kern w:val="2"/>
          <w:sz w:val="28"/>
          <w:szCs w:val="28"/>
          <w:highlight w:val="none"/>
          <w:lang w:val="en-US" w:eastAsia="zh-CN" w:bidi="ar-SA"/>
        </w:rPr>
        <w:t>20</w:t>
      </w:r>
      <w:r>
        <w:rPr>
          <w:rFonts w:hint="eastAsia" w:ascii="仿宋_GB2312" w:hAnsi="仿宋_GB2312" w:eastAsia="仿宋_GB2312" w:cs="仿宋_GB2312"/>
          <w:kern w:val="2"/>
          <w:sz w:val="28"/>
          <w:szCs w:val="28"/>
          <w:highlight w:val="none"/>
          <w:lang w:val="en-US" w:eastAsia="zh-CN" w:bidi="ar-SA"/>
        </w:rPr>
        <w:t>年</w:t>
      </w:r>
      <w:r>
        <w:rPr>
          <w:rFonts w:hint="eastAsia" w:ascii="仿宋_GB2312" w:hAnsi="仿宋_GB2312" w:cs="仿宋_GB2312"/>
          <w:kern w:val="2"/>
          <w:sz w:val="28"/>
          <w:szCs w:val="28"/>
          <w:highlight w:val="none"/>
          <w:lang w:val="en-US" w:eastAsia="zh-CN" w:bidi="ar-SA"/>
        </w:rPr>
        <w:t>6月12日</w:t>
      </w:r>
      <w:r>
        <w:rPr>
          <w:rFonts w:hint="eastAsia" w:ascii="仿宋_GB2312" w:hAnsi="仿宋_GB2312" w:eastAsia="仿宋_GB2312" w:cs="仿宋_GB2312"/>
          <w:kern w:val="2"/>
          <w:sz w:val="28"/>
          <w:szCs w:val="28"/>
          <w:highlight w:val="none"/>
          <w:lang w:val="en-US" w:eastAsia="zh-CN" w:bidi="ar-SA"/>
        </w:rPr>
        <w:t>通过可研批复后，立即组织招标工作，</w:t>
      </w:r>
      <w:r>
        <w:rPr>
          <w:rFonts w:hint="eastAsia" w:ascii="仿宋_GB2312" w:hAnsi="仿宋_GB2312" w:cs="仿宋_GB2312"/>
          <w:kern w:val="2"/>
          <w:sz w:val="28"/>
          <w:szCs w:val="28"/>
          <w:highlight w:val="none"/>
          <w:lang w:val="en-US" w:eastAsia="zh-CN" w:bidi="ar-SA"/>
        </w:rPr>
        <w:t>2020年9月分别确定EPC总承包方和监理方，于2020年10月1日开工，但林业局未提供项目施工许可，</w:t>
      </w:r>
      <w:r>
        <w:rPr>
          <w:rFonts w:hint="eastAsia" w:ascii="仿宋_GB2312" w:hAnsi="仿宋_GB2312" w:eastAsia="仿宋_GB2312" w:cs="仿宋_GB2312"/>
          <w:kern w:val="2"/>
          <w:sz w:val="28"/>
          <w:szCs w:val="28"/>
          <w:highlight w:val="none"/>
          <w:lang w:val="en-US" w:eastAsia="zh-CN" w:bidi="ar-SA"/>
        </w:rPr>
        <w:t>202</w:t>
      </w:r>
      <w:r>
        <w:rPr>
          <w:rFonts w:hint="eastAsia" w:ascii="仿宋_GB2312" w:hAnsi="仿宋_GB2312" w:cs="仿宋_GB2312"/>
          <w:kern w:val="2"/>
          <w:sz w:val="28"/>
          <w:szCs w:val="28"/>
          <w:highlight w:val="none"/>
          <w:lang w:val="en-US" w:eastAsia="zh-CN" w:bidi="ar-SA"/>
        </w:rPr>
        <w:t>1</w:t>
      </w:r>
      <w:r>
        <w:rPr>
          <w:rFonts w:hint="eastAsia" w:ascii="仿宋_GB2312" w:hAnsi="仿宋_GB2312" w:eastAsia="仿宋_GB2312" w:cs="仿宋_GB2312"/>
          <w:kern w:val="2"/>
          <w:sz w:val="28"/>
          <w:szCs w:val="28"/>
          <w:highlight w:val="none"/>
          <w:lang w:val="en-US" w:eastAsia="zh-CN" w:bidi="ar-SA"/>
        </w:rPr>
        <w:t>年</w:t>
      </w:r>
      <w:r>
        <w:rPr>
          <w:rFonts w:hint="eastAsia" w:ascii="仿宋_GB2312" w:hAnsi="仿宋_GB2312" w:cs="仿宋_GB2312"/>
          <w:kern w:val="2"/>
          <w:sz w:val="28"/>
          <w:szCs w:val="28"/>
          <w:highlight w:val="none"/>
          <w:lang w:val="en-US" w:eastAsia="zh-CN" w:bidi="ar-SA"/>
        </w:rPr>
        <w:t>1</w:t>
      </w:r>
      <w:r>
        <w:rPr>
          <w:rFonts w:hint="eastAsia" w:ascii="仿宋_GB2312" w:hAnsi="仿宋_GB2312" w:eastAsia="仿宋_GB2312" w:cs="仿宋_GB2312"/>
          <w:kern w:val="2"/>
          <w:sz w:val="28"/>
          <w:szCs w:val="28"/>
          <w:highlight w:val="none"/>
          <w:lang w:val="en-US" w:eastAsia="zh-CN" w:bidi="ar-SA"/>
        </w:rPr>
        <w:t>月</w:t>
      </w:r>
      <w:r>
        <w:rPr>
          <w:rFonts w:hint="eastAsia" w:ascii="仿宋_GB2312" w:hAnsi="仿宋_GB2312" w:cs="仿宋_GB2312"/>
          <w:kern w:val="2"/>
          <w:sz w:val="28"/>
          <w:szCs w:val="28"/>
          <w:highlight w:val="none"/>
          <w:lang w:val="en-US" w:eastAsia="zh-CN" w:bidi="ar-SA"/>
        </w:rPr>
        <w:t>5日</w:t>
      </w:r>
      <w:r>
        <w:rPr>
          <w:rFonts w:hint="eastAsia" w:ascii="仿宋_GB2312" w:hAnsi="仿宋_GB2312" w:eastAsia="仿宋_GB2312" w:cs="仿宋_GB2312"/>
          <w:kern w:val="2"/>
          <w:sz w:val="28"/>
          <w:szCs w:val="28"/>
          <w:highlight w:val="none"/>
          <w:lang w:val="en-US" w:eastAsia="zh-CN" w:bidi="ar-SA"/>
        </w:rPr>
        <w:t>初步设通过审批。虽然项目有可行性研究报告及其批复文件来支撑项目前期建设，但项目建设“边施工边设计”违背了工程建设基本程序，增加了项目建设的不可预见性，项目建设随意性大</w:t>
      </w:r>
      <w:r>
        <w:rPr>
          <w:rFonts w:hint="eastAsia" w:ascii="仿宋_GB2312" w:hAnsi="仿宋_GB2312" w:cs="仿宋_GB2312"/>
          <w:kern w:val="2"/>
          <w:sz w:val="28"/>
          <w:szCs w:val="28"/>
          <w:highlight w:val="none"/>
          <w:lang w:val="en-US" w:eastAsia="zh-CN" w:bidi="ar-SA"/>
        </w:rPr>
        <w:t>。</w:t>
      </w:r>
      <w:r>
        <w:rPr>
          <w:rFonts w:hint="eastAsia" w:ascii="仿宋_GB2312" w:hAnsi="仿宋_GB2312" w:eastAsia="仿宋_GB2312" w:cs="仿宋_GB2312"/>
          <w:kern w:val="2"/>
          <w:sz w:val="28"/>
          <w:szCs w:val="28"/>
          <w:highlight w:val="none"/>
          <w:lang w:val="en-US" w:eastAsia="zh-CN" w:bidi="ar-SA"/>
        </w:rPr>
        <w:t>由于初步设计批复较晚，项目先行按照可研批复的建设规模及资金预算签订施工总承包合同，初步设计通过批复后，项目实际建设规模及资金预算改为初步设计批复内容，项目可研批复及初步设计均存在不同程度的变更，但在评价过程中，林业局、施工方均未提供相关变更</w:t>
      </w:r>
      <w:r>
        <w:rPr>
          <w:rFonts w:hint="eastAsia" w:ascii="仿宋_GB2312" w:hAnsi="仿宋_GB2312" w:cs="仿宋_GB2312"/>
          <w:kern w:val="2"/>
          <w:sz w:val="28"/>
          <w:szCs w:val="28"/>
          <w:highlight w:val="none"/>
          <w:lang w:val="en-US" w:eastAsia="zh-CN" w:bidi="ar-SA"/>
        </w:rPr>
        <w:t>手续说明</w:t>
      </w:r>
      <w:r>
        <w:rPr>
          <w:rFonts w:hint="eastAsia" w:ascii="仿宋_GB2312" w:hAnsi="仿宋_GB2312" w:eastAsia="仿宋_GB2312" w:cs="仿宋_GB2312"/>
          <w:kern w:val="2"/>
          <w:sz w:val="28"/>
          <w:szCs w:val="28"/>
          <w:highlight w:val="none"/>
          <w:lang w:val="en-US" w:eastAsia="zh-CN" w:bidi="ar-SA"/>
        </w:rPr>
        <w:t>。</w:t>
      </w:r>
    </w:p>
    <w:p>
      <w:pPr>
        <w:keepNext/>
        <w:keepLines/>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1"/>
        <w:rPr>
          <w:rFonts w:hint="eastAsia" w:ascii="仿宋_GB2312" w:hAnsi="仿宋_GB2312" w:eastAsia="楷体_GB2312" w:cs="仿宋_GB2312"/>
          <w:b/>
          <w:bCs/>
          <w:kern w:val="2"/>
          <w:sz w:val="28"/>
          <w:szCs w:val="28"/>
          <w:highlight w:val="none"/>
          <w:lang w:val="en-US" w:eastAsia="zh-CN" w:bidi="ar-SA"/>
        </w:rPr>
      </w:pPr>
      <w:bookmarkStart w:id="63" w:name="_Toc11752"/>
      <w:r>
        <w:rPr>
          <w:rFonts w:hint="eastAsia" w:ascii="楷体" w:hAnsi="楷体" w:eastAsia="楷体_GB2312" w:cs="Times New Roman"/>
          <w:kern w:val="2"/>
          <w:sz w:val="28"/>
          <w:szCs w:val="24"/>
          <w:highlight w:val="none"/>
          <w:lang w:val="en-US" w:eastAsia="zh-CN" w:bidi="ar-SA"/>
        </w:rPr>
        <w:t>（二）个别村落小班存活率低</w:t>
      </w:r>
      <w:bookmarkEnd w:id="63"/>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highlight w:val="none"/>
          <w:lang w:val="en-US" w:eastAsia="zh-CN"/>
        </w:rPr>
        <w:t>按要求</w:t>
      </w:r>
      <w:r>
        <w:rPr>
          <w:rFonts w:hint="eastAsia" w:ascii="仿宋_GB2312" w:hAnsi="仿宋_GB2312" w:cs="仿宋_GB2312"/>
          <w:highlight w:val="none"/>
          <w:lang w:val="en-US" w:eastAsia="zh-CN"/>
        </w:rPr>
        <w:t>造林</w:t>
      </w:r>
      <w:r>
        <w:rPr>
          <w:rFonts w:hint="default" w:ascii="仿宋_GB2312" w:hAnsi="仿宋_GB2312" w:cs="仿宋_GB2312"/>
          <w:highlight w:val="none"/>
          <w:lang w:val="en-US" w:eastAsia="zh-CN"/>
        </w:rPr>
        <w:t>存活率</w:t>
      </w:r>
      <w:r>
        <w:rPr>
          <w:rFonts w:hint="default" w:ascii="仿宋_GB2312" w:hAnsi="仿宋_GB2312" w:cs="仿宋_GB2312"/>
          <w:color w:val="auto"/>
          <w:highlight w:val="none"/>
          <w:lang w:val="en-US" w:eastAsia="zh-CN"/>
        </w:rPr>
        <w:t>应高于85%，经现场抽查30%的</w:t>
      </w:r>
      <w:r>
        <w:rPr>
          <w:rFonts w:hint="eastAsia" w:ascii="仿宋_GB2312" w:hAnsi="仿宋_GB2312" w:cs="仿宋_GB2312"/>
          <w:color w:val="auto"/>
          <w:highlight w:val="none"/>
          <w:lang w:val="en-US" w:eastAsia="zh-CN"/>
        </w:rPr>
        <w:t>小班中有14个小班存活率不达85%或未栽种。具有</w:t>
      </w:r>
      <w:r>
        <w:rPr>
          <w:rFonts w:hint="default" w:ascii="仿宋_GB2312" w:hAnsi="仿宋_GB2312" w:cs="仿宋_GB2312"/>
          <w:color w:val="auto"/>
          <w:highlight w:val="none"/>
          <w:lang w:val="en-US" w:eastAsia="zh-CN"/>
        </w:rPr>
        <w:t>存活率不达</w:t>
      </w:r>
      <w:r>
        <w:rPr>
          <w:rFonts w:hint="eastAsia" w:ascii="仿宋_GB2312" w:hAnsi="仿宋_GB2312" w:cs="仿宋_GB2312"/>
          <w:color w:val="auto"/>
          <w:highlight w:val="none"/>
          <w:lang w:val="en-US" w:eastAsia="zh-CN"/>
        </w:rPr>
        <w:t>标或未栽种</w:t>
      </w:r>
      <w:r>
        <w:rPr>
          <w:rFonts w:hint="default" w:ascii="仿宋_GB2312" w:hAnsi="仿宋_GB2312" w:cs="仿宋_GB2312"/>
          <w:color w:val="auto"/>
          <w:highlight w:val="none"/>
          <w:lang w:val="en-US" w:eastAsia="zh-CN"/>
        </w:rPr>
        <w:t>情况</w:t>
      </w:r>
      <w:r>
        <w:rPr>
          <w:rFonts w:hint="eastAsia" w:ascii="仿宋_GB2312" w:hAnsi="仿宋_GB2312" w:cs="仿宋_GB2312"/>
          <w:color w:val="auto"/>
          <w:highlight w:val="none"/>
          <w:lang w:val="en-US" w:eastAsia="zh-CN"/>
        </w:rPr>
        <w:t>统计</w:t>
      </w:r>
      <w:r>
        <w:rPr>
          <w:rFonts w:hint="default" w:ascii="仿宋_GB2312" w:hAnsi="仿宋_GB2312" w:cs="仿宋_GB2312"/>
          <w:color w:val="auto"/>
          <w:highlight w:val="none"/>
          <w:lang w:val="en-US" w:eastAsia="zh-CN"/>
        </w:rPr>
        <w:t>如下：</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朱家岩2号小班油松B存活率80%、沙棘存活率30%；</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冀家庄1号小班油松A存活率80%、杏树存活率1%；</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杨树村12号小班油松A存活率80%、杏树存活率50%；</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张家梁10号小班沙棘存活率60%；</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柳沟村1号小班沙棘未栽种；</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柳沟村20号小班云杉A存活率65%、沙棘存活率25%；</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大河堡7号小班榆树存活率5%；</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大河堡3号小班油松A存活率80%、榆树存活率10%；</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大河堡5号小班杏树存活率5%；</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杨庄村7号小班油松A号存活率80%、华北卫矛未栽种；</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下河南4号小班大油松存活率65%、杏树存活率20%；</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苗庄村1号小班油松存活率50%、杨树存活率20%；</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苗庄村2号小班油松A存活率65%；</w:t>
      </w:r>
    </w:p>
    <w:p>
      <w:pPr>
        <w:pStyle w:val="2"/>
        <w:keepNext w:val="0"/>
        <w:keepLines w:val="0"/>
        <w:pageBreakBefore w:val="0"/>
        <w:widowControl w:val="0"/>
        <w:kinsoku/>
        <w:wordWrap/>
        <w:overflowPunct/>
        <w:topLinePunct w:val="0"/>
        <w:autoSpaceDE/>
        <w:autoSpaceDN/>
        <w:bidi w:val="0"/>
        <w:adjustRightInd w:val="0"/>
        <w:snapToGrid w:val="0"/>
        <w:spacing w:after="0" w:afterLines="0" w:line="360" w:lineRule="auto"/>
        <w:textAlignment w:val="auto"/>
        <w:rPr>
          <w:rFonts w:hint="default" w:ascii="仿宋_GB2312" w:hAnsi="仿宋_GB2312" w:cs="仿宋_GB2312"/>
          <w:color w:val="auto"/>
          <w:highlight w:val="none"/>
          <w:lang w:val="en-US" w:eastAsia="zh-CN"/>
        </w:rPr>
      </w:pPr>
      <w:r>
        <w:rPr>
          <w:rFonts w:hint="default" w:ascii="仿宋_GB2312" w:hAnsi="仿宋_GB2312" w:cs="仿宋_GB2312"/>
          <w:color w:val="auto"/>
          <w:highlight w:val="none"/>
          <w:lang w:val="en-US" w:eastAsia="zh-CN"/>
        </w:rPr>
        <w:t>半沟村3号小班油松存活率80%。</w:t>
      </w:r>
    </w:p>
    <w:p>
      <w:pPr>
        <w:pStyle w:val="4"/>
        <w:bidi w:val="0"/>
        <w:rPr>
          <w:rFonts w:hint="eastAsia"/>
          <w:lang w:val="en-US" w:eastAsia="zh-CN"/>
        </w:rPr>
      </w:pPr>
      <w:bookmarkStart w:id="64" w:name="_Toc15774"/>
      <w:bookmarkStart w:id="65" w:name="_Toc27928_WPSOffice_Level1"/>
      <w:bookmarkStart w:id="66" w:name="_Toc24469_WPSOffice_Level1"/>
      <w:r>
        <w:rPr>
          <w:rFonts w:hint="eastAsia"/>
          <w:lang w:val="en-US" w:eastAsia="zh-CN"/>
        </w:rPr>
        <w:t>五、相关建议</w:t>
      </w:r>
      <w:bookmarkEnd w:id="64"/>
      <w:bookmarkEnd w:id="65"/>
      <w:bookmarkEnd w:id="66"/>
    </w:p>
    <w:p>
      <w:pPr>
        <w:keepNext/>
        <w:keepLines/>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1"/>
        <w:rPr>
          <w:rFonts w:hint="eastAsia" w:ascii="楷体" w:hAnsi="楷体" w:eastAsia="楷体_GB2312" w:cs="Times New Roman"/>
          <w:kern w:val="2"/>
          <w:sz w:val="28"/>
          <w:szCs w:val="24"/>
          <w:highlight w:val="none"/>
          <w:lang w:val="en-US" w:eastAsia="zh-CN" w:bidi="ar-SA"/>
        </w:rPr>
      </w:pPr>
      <w:bookmarkStart w:id="67" w:name="_Toc28573"/>
      <w:r>
        <w:rPr>
          <w:rFonts w:hint="eastAsia" w:ascii="楷体" w:hAnsi="楷体" w:eastAsia="楷体_GB2312" w:cs="Times New Roman"/>
          <w:kern w:val="2"/>
          <w:sz w:val="28"/>
          <w:szCs w:val="24"/>
          <w:highlight w:val="none"/>
          <w:lang w:val="en-US" w:eastAsia="zh-CN" w:bidi="ar-SA"/>
        </w:rPr>
        <w:t>（一）规范项目实施程序，完善项目变更手续</w:t>
      </w:r>
      <w:bookmarkEnd w:id="67"/>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firstLine="560" w:firstLineChars="200"/>
        <w:jc w:val="both"/>
        <w:textAlignment w:val="auto"/>
        <w:outlineLvl w:val="9"/>
        <w:rPr>
          <w:rFonts w:hint="default"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建议</w:t>
      </w:r>
      <w:r>
        <w:rPr>
          <w:rFonts w:hint="eastAsia" w:ascii="仿宋_GB2312" w:hAnsi="仿宋_GB2312" w:cs="仿宋_GB2312"/>
          <w:kern w:val="2"/>
          <w:sz w:val="28"/>
          <w:szCs w:val="28"/>
          <w:highlight w:val="none"/>
          <w:lang w:val="en-US" w:eastAsia="zh-CN" w:bidi="ar-SA"/>
        </w:rPr>
        <w:t>林业局</w:t>
      </w:r>
      <w:r>
        <w:rPr>
          <w:rFonts w:hint="eastAsia" w:ascii="仿宋_GB2312" w:hAnsi="仿宋_GB2312" w:eastAsia="仿宋_GB2312" w:cs="仿宋_GB2312"/>
          <w:kern w:val="2"/>
          <w:sz w:val="28"/>
          <w:szCs w:val="28"/>
          <w:highlight w:val="none"/>
          <w:lang w:val="en-US" w:eastAsia="zh-CN" w:bidi="ar-SA"/>
        </w:rPr>
        <w:t>以后工作中要规范项目实施流程：一是做好项目前期准备工作，搞好项目立项前的调研和评估论证，避免项目设计深度不够，</w:t>
      </w:r>
      <w:r>
        <w:rPr>
          <w:rFonts w:hint="eastAsia" w:ascii="仿宋_GB2312" w:hAnsi="仿宋_GB2312" w:cs="仿宋_GB2312"/>
          <w:kern w:val="2"/>
          <w:sz w:val="28"/>
          <w:szCs w:val="28"/>
          <w:highlight w:val="none"/>
          <w:lang w:val="en-US" w:eastAsia="zh-CN" w:bidi="ar-SA"/>
        </w:rPr>
        <w:t>施工后发现个别设计内容不可行</w:t>
      </w:r>
      <w:r>
        <w:rPr>
          <w:rFonts w:hint="eastAsia" w:ascii="仿宋_GB2312" w:hAnsi="仿宋_GB2312" w:eastAsia="仿宋_GB2312" w:cs="仿宋_GB2312"/>
          <w:kern w:val="2"/>
          <w:sz w:val="28"/>
          <w:szCs w:val="28"/>
          <w:highlight w:val="none"/>
          <w:lang w:val="en-US" w:eastAsia="zh-CN" w:bidi="ar-SA"/>
        </w:rPr>
        <w:t>；二是要严格执行项目计划，计划一经批复，应严格按照计划施工，</w:t>
      </w:r>
      <w:r>
        <w:rPr>
          <w:rFonts w:hint="eastAsia" w:ascii="仿宋_GB2312" w:hAnsi="仿宋_GB2312" w:cs="仿宋_GB2312"/>
          <w:kern w:val="2"/>
          <w:sz w:val="28"/>
          <w:szCs w:val="28"/>
          <w:highlight w:val="none"/>
          <w:lang w:val="en-US" w:eastAsia="zh-CN" w:bidi="ar-SA"/>
        </w:rPr>
        <w:t>施工方</w:t>
      </w:r>
      <w:r>
        <w:rPr>
          <w:rFonts w:hint="eastAsia" w:ascii="仿宋_GB2312" w:hAnsi="仿宋_GB2312" w:eastAsia="仿宋_GB2312" w:cs="仿宋_GB2312"/>
          <w:kern w:val="2"/>
          <w:sz w:val="28"/>
          <w:szCs w:val="28"/>
          <w:highlight w:val="none"/>
          <w:lang w:val="en-US" w:eastAsia="zh-CN" w:bidi="ar-SA"/>
        </w:rPr>
        <w:t>不得擅自调整，</w:t>
      </w:r>
      <w:r>
        <w:rPr>
          <w:rFonts w:hint="eastAsia" w:ascii="仿宋_GB2312" w:hAnsi="仿宋_GB2312" w:cs="仿宋_GB2312"/>
          <w:kern w:val="2"/>
          <w:sz w:val="28"/>
          <w:szCs w:val="28"/>
          <w:highlight w:val="none"/>
          <w:lang w:val="en-US" w:eastAsia="zh-CN" w:bidi="ar-SA"/>
        </w:rPr>
        <w:t>如</w:t>
      </w:r>
      <w:r>
        <w:rPr>
          <w:rFonts w:hint="eastAsia" w:ascii="仿宋_GB2312" w:hAnsi="仿宋_GB2312" w:eastAsia="仿宋_GB2312" w:cs="仿宋_GB2312"/>
          <w:kern w:val="2"/>
          <w:sz w:val="28"/>
          <w:szCs w:val="28"/>
          <w:highlight w:val="none"/>
          <w:lang w:val="en-US" w:eastAsia="zh-CN" w:bidi="ar-SA"/>
        </w:rPr>
        <w:t>需调整的，</w:t>
      </w:r>
      <w:r>
        <w:rPr>
          <w:rFonts w:hint="eastAsia" w:ascii="仿宋_GB2312" w:hAnsi="仿宋_GB2312" w:cs="仿宋_GB2312"/>
          <w:kern w:val="2"/>
          <w:sz w:val="28"/>
          <w:szCs w:val="28"/>
          <w:highlight w:val="none"/>
          <w:lang w:val="en-US" w:eastAsia="zh-CN" w:bidi="ar-SA"/>
        </w:rPr>
        <w:t>经委托方同意，</w:t>
      </w:r>
      <w:r>
        <w:rPr>
          <w:rFonts w:hint="eastAsia" w:ascii="仿宋_GB2312" w:hAnsi="仿宋_GB2312" w:eastAsia="仿宋_GB2312" w:cs="仿宋_GB2312"/>
          <w:kern w:val="2"/>
          <w:sz w:val="28"/>
          <w:szCs w:val="28"/>
          <w:highlight w:val="none"/>
          <w:lang w:val="en-US" w:eastAsia="zh-CN" w:bidi="ar-SA"/>
        </w:rPr>
        <w:t>要及时履行报批手续。其次，要完善项目变更手续，由于项目在可研通过批复后，未通过初步设计批复就</w:t>
      </w:r>
      <w:r>
        <w:rPr>
          <w:rFonts w:hint="eastAsia" w:ascii="仿宋_GB2312" w:hAnsi="仿宋_GB2312" w:cs="仿宋_GB2312"/>
          <w:kern w:val="2"/>
          <w:sz w:val="28"/>
          <w:szCs w:val="28"/>
          <w:highlight w:val="none"/>
          <w:lang w:val="en-US" w:eastAsia="zh-CN" w:bidi="ar-SA"/>
        </w:rPr>
        <w:t>进行</w:t>
      </w:r>
      <w:r>
        <w:rPr>
          <w:rFonts w:hint="eastAsia" w:ascii="仿宋_GB2312" w:hAnsi="仿宋_GB2312" w:eastAsia="仿宋_GB2312" w:cs="仿宋_GB2312"/>
          <w:kern w:val="2"/>
          <w:sz w:val="28"/>
          <w:szCs w:val="28"/>
          <w:highlight w:val="none"/>
          <w:lang w:val="en-US" w:eastAsia="zh-CN" w:bidi="ar-SA"/>
        </w:rPr>
        <w:t>招标工作并开始施工，初步设计后对项目建设任务及资金预算均进行调整</w:t>
      </w:r>
      <w:r>
        <w:rPr>
          <w:rFonts w:hint="eastAsia" w:ascii="仿宋_GB2312" w:hAnsi="仿宋_GB2312" w:cs="仿宋_GB2312"/>
          <w:kern w:val="2"/>
          <w:sz w:val="28"/>
          <w:szCs w:val="28"/>
          <w:highlight w:val="none"/>
          <w:lang w:val="en-US" w:eastAsia="zh-CN" w:bidi="ar-SA"/>
        </w:rPr>
        <w:t>，</w:t>
      </w:r>
      <w:r>
        <w:rPr>
          <w:rFonts w:hint="eastAsia" w:ascii="仿宋_GB2312" w:hAnsi="仿宋_GB2312" w:eastAsia="仿宋_GB2312" w:cs="仿宋_GB2312"/>
          <w:kern w:val="2"/>
          <w:sz w:val="28"/>
          <w:szCs w:val="28"/>
          <w:highlight w:val="none"/>
          <w:lang w:val="en-US" w:eastAsia="zh-CN" w:bidi="ar-SA"/>
        </w:rPr>
        <w:t>根据《中华人民共和国预算法》（主席令第22号）要求，项目需要增加或者减少预算总支出的应当编制预算调整方案。建议</w:t>
      </w:r>
      <w:r>
        <w:rPr>
          <w:rFonts w:hint="eastAsia" w:ascii="仿宋_GB2312" w:hAnsi="仿宋_GB2312" w:cs="仿宋_GB2312"/>
          <w:kern w:val="2"/>
          <w:sz w:val="28"/>
          <w:szCs w:val="28"/>
          <w:highlight w:val="none"/>
          <w:lang w:val="en-US" w:eastAsia="zh-CN" w:bidi="ar-SA"/>
        </w:rPr>
        <w:t>林业局</w:t>
      </w:r>
      <w:r>
        <w:rPr>
          <w:rFonts w:hint="eastAsia" w:ascii="仿宋_GB2312" w:hAnsi="仿宋_GB2312" w:eastAsia="仿宋_GB2312" w:cs="仿宋_GB2312"/>
          <w:kern w:val="2"/>
          <w:sz w:val="28"/>
          <w:szCs w:val="28"/>
          <w:highlight w:val="none"/>
          <w:lang w:val="en-US" w:eastAsia="zh-CN" w:bidi="ar-SA"/>
        </w:rPr>
        <w:t>完善变更手续，补充调整方案，以反映项目实际建设任务目标及资金预算。</w:t>
      </w:r>
    </w:p>
    <w:p>
      <w:pPr>
        <w:keepNext/>
        <w:keepLines/>
        <w:pageBreakBefore w:val="0"/>
        <w:widowControl w:val="0"/>
        <w:kinsoku/>
        <w:wordWrap/>
        <w:overflowPunct/>
        <w:topLinePunct w:val="0"/>
        <w:autoSpaceDE/>
        <w:autoSpaceDN/>
        <w:bidi w:val="0"/>
        <w:adjustRightInd w:val="0"/>
        <w:snapToGrid w:val="0"/>
        <w:spacing w:line="360" w:lineRule="auto"/>
        <w:ind w:firstLine="560" w:firstLineChars="200"/>
        <w:jc w:val="both"/>
        <w:textAlignment w:val="auto"/>
        <w:outlineLvl w:val="1"/>
        <w:rPr>
          <w:rFonts w:hint="eastAsia" w:ascii="楷体" w:hAnsi="楷体" w:eastAsia="楷体_GB2312" w:cs="Times New Roman"/>
          <w:kern w:val="2"/>
          <w:sz w:val="28"/>
          <w:szCs w:val="24"/>
          <w:highlight w:val="none"/>
          <w:lang w:val="en-US" w:eastAsia="zh-CN" w:bidi="ar-SA"/>
        </w:rPr>
      </w:pPr>
      <w:bookmarkStart w:id="68" w:name="_Toc25262"/>
      <w:r>
        <w:rPr>
          <w:rFonts w:hint="eastAsia" w:ascii="楷体" w:hAnsi="楷体" w:eastAsia="楷体_GB2312" w:cs="Times New Roman"/>
          <w:kern w:val="2"/>
          <w:sz w:val="28"/>
          <w:szCs w:val="24"/>
          <w:highlight w:val="none"/>
          <w:lang w:val="en-US" w:eastAsia="zh-CN" w:bidi="ar-SA"/>
        </w:rPr>
        <w:t>（二）加强后期管护，巩固造林成果</w:t>
      </w:r>
      <w:bookmarkEnd w:id="68"/>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_GB2312" w:hAnsi="仿宋_GB2312" w:eastAsia="仿宋_GB2312" w:cs="仿宋_GB2312"/>
          <w:kern w:val="2"/>
          <w:sz w:val="28"/>
          <w:szCs w:val="28"/>
          <w:highlight w:val="none"/>
          <w:lang w:val="en-US" w:eastAsia="zh-CN" w:bidi="ar-SA"/>
        </w:rPr>
      </w:pPr>
      <w:r>
        <w:rPr>
          <w:rFonts w:hint="eastAsia" w:ascii="仿宋_GB2312" w:hAnsi="仿宋_GB2312" w:eastAsia="仿宋_GB2312" w:cs="仿宋_GB2312"/>
          <w:kern w:val="2"/>
          <w:sz w:val="28"/>
          <w:szCs w:val="28"/>
          <w:highlight w:val="none"/>
          <w:lang w:val="en-US" w:eastAsia="zh-CN" w:bidi="ar-SA"/>
        </w:rPr>
        <w:t>建议</w:t>
      </w:r>
      <w:r>
        <w:rPr>
          <w:rFonts w:hint="eastAsia" w:ascii="仿宋_GB2312" w:hAnsi="仿宋_GB2312" w:cs="仿宋_GB2312"/>
          <w:kern w:val="2"/>
          <w:sz w:val="28"/>
          <w:szCs w:val="28"/>
          <w:highlight w:val="none"/>
          <w:lang w:val="en-US" w:eastAsia="zh-CN" w:bidi="ar-SA"/>
        </w:rPr>
        <w:t>林业局</w:t>
      </w:r>
      <w:r>
        <w:rPr>
          <w:rFonts w:hint="eastAsia" w:ascii="仿宋_GB2312" w:hAnsi="仿宋_GB2312" w:eastAsia="仿宋_GB2312" w:cs="仿宋_GB2312"/>
          <w:kern w:val="2"/>
          <w:sz w:val="28"/>
          <w:szCs w:val="28"/>
          <w:highlight w:val="none"/>
          <w:lang w:val="en-US" w:eastAsia="zh-CN" w:bidi="ar-SA"/>
        </w:rPr>
        <w:t>及施工单位展开管护工作部署，明确管护重点，巩固造林绿化成果</w:t>
      </w:r>
      <w:r>
        <w:rPr>
          <w:rFonts w:hint="eastAsia" w:ascii="仿宋_GB2312" w:hAnsi="仿宋_GB2312" w:cs="仿宋_GB2312"/>
          <w:kern w:val="2"/>
          <w:sz w:val="28"/>
          <w:szCs w:val="28"/>
          <w:highlight w:val="none"/>
          <w:lang w:val="en-US" w:eastAsia="zh-CN" w:bidi="ar-SA"/>
        </w:rPr>
        <w:t>，</w:t>
      </w:r>
      <w:r>
        <w:rPr>
          <w:rFonts w:hint="eastAsia" w:ascii="仿宋_GB2312" w:hAnsi="仿宋_GB2312" w:eastAsia="仿宋_GB2312" w:cs="仿宋_GB2312"/>
          <w:kern w:val="2"/>
          <w:sz w:val="28"/>
          <w:szCs w:val="28"/>
          <w:highlight w:val="none"/>
          <w:lang w:val="en-US" w:eastAsia="zh-CN" w:bidi="ar-SA"/>
        </w:rPr>
        <w:t>建立造林绿化管护台账，加大对各个栽种点树木的管护、监控、巡查力度，特别是新栽幼树因人畜破坏或严重失水导致损毁死亡，</w:t>
      </w:r>
      <w:r>
        <w:rPr>
          <w:rFonts w:hint="eastAsia" w:ascii="仿宋_GB2312" w:hAnsi="仿宋_GB2312" w:cs="仿宋_GB2312"/>
          <w:kern w:val="2"/>
          <w:sz w:val="28"/>
          <w:szCs w:val="28"/>
          <w:highlight w:val="none"/>
          <w:lang w:val="en-US" w:eastAsia="zh-CN" w:bidi="ar-SA"/>
        </w:rPr>
        <w:t>安排后期补种，</w:t>
      </w:r>
      <w:r>
        <w:rPr>
          <w:rFonts w:hint="eastAsia" w:ascii="仿宋_GB2312" w:hAnsi="仿宋_GB2312" w:eastAsia="仿宋_GB2312" w:cs="仿宋_GB2312"/>
          <w:kern w:val="2"/>
          <w:sz w:val="28"/>
          <w:szCs w:val="28"/>
          <w:highlight w:val="none"/>
          <w:lang w:val="en-US" w:eastAsia="zh-CN" w:bidi="ar-SA"/>
        </w:rPr>
        <w:t>切实杜绝人畜、机械毁坏幼树等现象发生。加大管护宣传，营造爱林护绿氛围，在各个栽种点书写护林标语、张贴护林公告等，大力开展林木管护宣传，增强群众爱绿护绿意识，营造全民参与、齐抓共管、爱护树木的良好氛围。强化技术指导，科学开展抚育养护，组织技术人员对新栽树木进行全面排查，已成活的要加强抚育、除草、浇水能工作，确保树木成活。已死亡或快死亡的，要尽快补植，确保栽一棵，活一棵，造一片，成一片。</w:t>
      </w:r>
    </w:p>
    <w:p>
      <w:pPr>
        <w:widowControl w:val="0"/>
        <w:jc w:val="both"/>
        <w:rPr>
          <w:rFonts w:ascii="宋体" w:hAnsi="Courier New" w:eastAsiaTheme="minorEastAsia" w:cstheme="minorBidi"/>
          <w:kern w:val="2"/>
          <w:sz w:val="21"/>
          <w:szCs w:val="20"/>
          <w:highlight w:val="none"/>
          <w:lang w:val="en-US" w:eastAsia="zh-CN" w:bidi="ar-SA"/>
        </w:rPr>
      </w:pPr>
    </w:p>
    <w:p>
      <w:pPr>
        <w:pStyle w:val="3"/>
        <w:keepNext w:val="0"/>
        <w:keepLines w:val="0"/>
        <w:pageBreakBefore w:val="0"/>
        <w:widowControl w:val="0"/>
        <w:kinsoku/>
        <w:wordWrap/>
        <w:overflowPunct/>
        <w:topLinePunct w:val="0"/>
        <w:autoSpaceDE/>
        <w:autoSpaceDN/>
        <w:bidi w:val="0"/>
        <w:adjustRightInd w:val="0"/>
        <w:snapToGrid w:val="0"/>
        <w:ind w:firstLine="0" w:firstLineChars="0"/>
        <w:jc w:val="left"/>
        <w:textAlignment w:val="auto"/>
        <w:rPr>
          <w:rFonts w:hint="eastAsia" w:ascii="仿宋_GB2312" w:hAnsi="仿宋_GB2312" w:eastAsia="仿宋_GB2312" w:cs="仿宋_GB2312"/>
          <w:b w:val="0"/>
          <w:bCs w:val="0"/>
          <w:highlight w:val="none"/>
          <w:lang w:val="en-US" w:eastAsia="zh-CN"/>
        </w:rPr>
      </w:pPr>
    </w:p>
    <w:sectPr>
      <w:headerReference r:id="rId6" w:type="default"/>
      <w:footerReference r:id="rId7"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0" w:num="1"/>
      <w:rtlGutter w:val="0"/>
      <w:docGrid w:type="lines" w:linePitch="38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posOffset>2650490</wp:posOffset>
              </wp:positionH>
              <wp:positionV relativeFrom="paragraph">
                <wp:posOffset>-211455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firstLine="0" w:firstLineChars="0"/>
                            <w:textAlignment w:val="auto"/>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33</w:t>
                          </w:r>
                          <w:r>
                            <w:rPr>
                              <w:rFonts w:hint="eastAsia" w:ascii="仿宋_GB2312" w:hAnsi="仿宋_GB2312" w:eastAsia="仿宋_GB2312" w:cs="仿宋_GB2312"/>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8.7pt;margin-top:-16.65pt;height:144pt;width:144pt;mso-position-horizontal-relative:margin;mso-wrap-style:none;z-index:251659264;mso-width-relative:page;mso-height-relative:page;" filled="f" stroked="f" coordsize="21600,21600" o:gfxdata="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pm/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OmR4I2QAAAAsBAAAPAAAAAAAAAAEAIAAAACIAAABkcnMvZG93bnJldi54&#10;bWxQSwECFAAUAAAACACHTuJA4YDTjjICAABhBAAADgAAAAAAAAABACAAAAAoAQAAZHJzL2Uyb0Rv&#10;Yy54bWxQSwUGAAAAAAYABgBZAQAAzAU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firstLine="0" w:firstLineChars="0"/>
                      <w:textAlignment w:val="auto"/>
                    </w:pPr>
                    <w:r>
                      <w:rPr>
                        <w:rFonts w:hint="eastAsia" w:ascii="仿宋_GB2312" w:hAnsi="仿宋_GB2312" w:eastAsia="仿宋_GB2312" w:cs="仿宋_GB2312"/>
                        <w:sz w:val="24"/>
                        <w:szCs w:val="40"/>
                      </w:rPr>
                      <w:fldChar w:fldCharType="begin"/>
                    </w:r>
                    <w:r>
                      <w:rPr>
                        <w:rFonts w:hint="eastAsia" w:ascii="仿宋_GB2312" w:hAnsi="仿宋_GB2312" w:eastAsia="仿宋_GB2312" w:cs="仿宋_GB2312"/>
                        <w:sz w:val="24"/>
                        <w:szCs w:val="40"/>
                      </w:rPr>
                      <w:instrText xml:space="preserve"> PAGE  \* MERGEFORMAT </w:instrText>
                    </w:r>
                    <w:r>
                      <w:rPr>
                        <w:rFonts w:hint="eastAsia" w:ascii="仿宋_GB2312" w:hAnsi="仿宋_GB2312" w:eastAsia="仿宋_GB2312" w:cs="仿宋_GB2312"/>
                        <w:sz w:val="24"/>
                        <w:szCs w:val="40"/>
                      </w:rPr>
                      <w:fldChar w:fldCharType="separate"/>
                    </w:r>
                    <w:r>
                      <w:rPr>
                        <w:rFonts w:hint="eastAsia" w:ascii="仿宋_GB2312" w:hAnsi="仿宋_GB2312" w:eastAsia="仿宋_GB2312" w:cs="仿宋_GB2312"/>
                        <w:sz w:val="24"/>
                        <w:szCs w:val="40"/>
                      </w:rPr>
                      <w:t>33</w:t>
                    </w:r>
                    <w:r>
                      <w:rPr>
                        <w:rFonts w:hint="eastAsia" w:ascii="仿宋_GB2312" w:hAnsi="仿宋_GB2312" w:eastAsia="仿宋_GB2312" w:cs="仿宋_GB2312"/>
                        <w:sz w:val="24"/>
                        <w:szCs w:val="4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single" w:color="auto" w:sz="4" w:space="1"/>
        <w:right w:val="none" w:color="auto" w:sz="0" w:space="4"/>
      </w:pBdr>
      <w:snapToGrid w:val="0"/>
      <w:spacing w:line="240" w:lineRule="auto"/>
      <w:jc w:val="center"/>
      <w:outlineLvl w:val="9"/>
      <w:rPr>
        <w:rFonts w:hint="eastAsia" w:ascii="宋体" w:hAnsi="宋体" w:eastAsia="宋体" w:cs="宋体"/>
        <w:kern w:val="2"/>
        <w:sz w:val="11"/>
        <w:szCs w:val="13"/>
        <w:lang w:val="en-US" w:eastAsia="zh-CN" w:bidi="ar-SA"/>
      </w:rPr>
    </w:pPr>
    <w:r>
      <w:rPr>
        <w:rFonts w:hint="eastAsia" w:ascii="宋体" w:hAnsi="宋体" w:eastAsia="宋体" w:cs="宋体"/>
        <w:b w:val="0"/>
        <w:bCs w:val="0"/>
        <w:kern w:val="2"/>
        <w:sz w:val="28"/>
        <w:szCs w:val="28"/>
        <w:highlight w:val="none"/>
        <w:lang w:val="en-US" w:eastAsia="zh-CN" w:bidi="ar-SA"/>
      </w:rPr>
      <w:t>宁武县憨山文化旅游区建设项目专项债券资金绩效评价报告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ind w:left="0" w:leftChars="0" w:firstLine="0" w:firstLineChars="0"/>
      <w:jc w:val="both"/>
      <w:rPr>
        <w:rFonts w:hint="eastAsia" w:ascii="宋体" w:hAnsi="宋体" w:eastAsia="宋体" w:cs="宋体"/>
        <w:sz w:val="24"/>
        <w:szCs w:val="24"/>
        <w:lang w:val="en-US"/>
      </w:rPr>
    </w:pPr>
    <w:r>
      <w:drawing>
        <wp:inline distT="0" distB="0" distL="114300" distR="114300">
          <wp:extent cx="240665" cy="240665"/>
          <wp:effectExtent l="0" t="0" r="3175"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宁武县汾河及恢河两侧山体植被修复与保护工程资金绩效评价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OGVmMDljNzk5ZGMwYjQ4ZmEwMTM4ODM0MWVkMGMifQ=="/>
  </w:docVars>
  <w:rsids>
    <w:rsidRoot w:val="4F3C5A75"/>
    <w:rsid w:val="009049D8"/>
    <w:rsid w:val="00C54E33"/>
    <w:rsid w:val="01AE44EC"/>
    <w:rsid w:val="025F0B06"/>
    <w:rsid w:val="02685C78"/>
    <w:rsid w:val="0360748F"/>
    <w:rsid w:val="037D56E8"/>
    <w:rsid w:val="066A7A79"/>
    <w:rsid w:val="078E1DDB"/>
    <w:rsid w:val="07964E36"/>
    <w:rsid w:val="07C93218"/>
    <w:rsid w:val="081E5427"/>
    <w:rsid w:val="090F0EAE"/>
    <w:rsid w:val="0A8C5F59"/>
    <w:rsid w:val="0B2D06D8"/>
    <w:rsid w:val="0B323966"/>
    <w:rsid w:val="0B862C8B"/>
    <w:rsid w:val="0C0B6975"/>
    <w:rsid w:val="0C351053"/>
    <w:rsid w:val="0D1F6517"/>
    <w:rsid w:val="0D513389"/>
    <w:rsid w:val="0F0053D9"/>
    <w:rsid w:val="0F266C1A"/>
    <w:rsid w:val="0F476A97"/>
    <w:rsid w:val="10103B27"/>
    <w:rsid w:val="10F42D61"/>
    <w:rsid w:val="11C95F9C"/>
    <w:rsid w:val="13502C52"/>
    <w:rsid w:val="13FB22A7"/>
    <w:rsid w:val="141C25F4"/>
    <w:rsid w:val="14757E8C"/>
    <w:rsid w:val="16433E47"/>
    <w:rsid w:val="1662251B"/>
    <w:rsid w:val="16743B4C"/>
    <w:rsid w:val="17942BA8"/>
    <w:rsid w:val="17D87121"/>
    <w:rsid w:val="18273DA2"/>
    <w:rsid w:val="18662975"/>
    <w:rsid w:val="198E36F0"/>
    <w:rsid w:val="19B85E6C"/>
    <w:rsid w:val="19E44B19"/>
    <w:rsid w:val="1A231FC1"/>
    <w:rsid w:val="1B0406D4"/>
    <w:rsid w:val="1BF65BDF"/>
    <w:rsid w:val="1C8E5F4F"/>
    <w:rsid w:val="1CDA3CEA"/>
    <w:rsid w:val="1D08662C"/>
    <w:rsid w:val="1EE240F7"/>
    <w:rsid w:val="1F030D3C"/>
    <w:rsid w:val="1F087D12"/>
    <w:rsid w:val="1F7310F3"/>
    <w:rsid w:val="1FC92FEE"/>
    <w:rsid w:val="2412654F"/>
    <w:rsid w:val="244832A0"/>
    <w:rsid w:val="255816B9"/>
    <w:rsid w:val="263F63D5"/>
    <w:rsid w:val="2677280B"/>
    <w:rsid w:val="26DA0E59"/>
    <w:rsid w:val="270D53BD"/>
    <w:rsid w:val="27C748D4"/>
    <w:rsid w:val="28CD2C13"/>
    <w:rsid w:val="295934B6"/>
    <w:rsid w:val="2A1E6321"/>
    <w:rsid w:val="2A2A7B29"/>
    <w:rsid w:val="2A7B6640"/>
    <w:rsid w:val="2BBB30A1"/>
    <w:rsid w:val="2BC048DF"/>
    <w:rsid w:val="2D981546"/>
    <w:rsid w:val="2EE74793"/>
    <w:rsid w:val="2F8A3706"/>
    <w:rsid w:val="302E7038"/>
    <w:rsid w:val="30E42AF1"/>
    <w:rsid w:val="318A411D"/>
    <w:rsid w:val="31F86E63"/>
    <w:rsid w:val="35254EFE"/>
    <w:rsid w:val="37964F40"/>
    <w:rsid w:val="39CE5272"/>
    <w:rsid w:val="3A6100DD"/>
    <w:rsid w:val="3A7025A4"/>
    <w:rsid w:val="3B143534"/>
    <w:rsid w:val="3BC47069"/>
    <w:rsid w:val="3BE43593"/>
    <w:rsid w:val="3C0676B8"/>
    <w:rsid w:val="3C454306"/>
    <w:rsid w:val="3C7D05D7"/>
    <w:rsid w:val="3E365848"/>
    <w:rsid w:val="3E5E4B41"/>
    <w:rsid w:val="3EB33073"/>
    <w:rsid w:val="3F5F3E28"/>
    <w:rsid w:val="3F822247"/>
    <w:rsid w:val="3F9C6133"/>
    <w:rsid w:val="3FEE4E1A"/>
    <w:rsid w:val="413D1693"/>
    <w:rsid w:val="422A5A15"/>
    <w:rsid w:val="42552DB0"/>
    <w:rsid w:val="42675AA6"/>
    <w:rsid w:val="42FA6347"/>
    <w:rsid w:val="434E1167"/>
    <w:rsid w:val="44B2557C"/>
    <w:rsid w:val="44F70DCA"/>
    <w:rsid w:val="45F4458E"/>
    <w:rsid w:val="46005C0C"/>
    <w:rsid w:val="46100246"/>
    <w:rsid w:val="46396809"/>
    <w:rsid w:val="46555B74"/>
    <w:rsid w:val="4678001E"/>
    <w:rsid w:val="46A34A90"/>
    <w:rsid w:val="471D213C"/>
    <w:rsid w:val="47414F23"/>
    <w:rsid w:val="47AA619D"/>
    <w:rsid w:val="49DF04F2"/>
    <w:rsid w:val="4A317B8F"/>
    <w:rsid w:val="4A4158C6"/>
    <w:rsid w:val="4B0A2B1C"/>
    <w:rsid w:val="4C300588"/>
    <w:rsid w:val="4D0553D3"/>
    <w:rsid w:val="4D2E2F8B"/>
    <w:rsid w:val="4D392C2D"/>
    <w:rsid w:val="4E2238E9"/>
    <w:rsid w:val="4E31518A"/>
    <w:rsid w:val="4E6F6AC1"/>
    <w:rsid w:val="4F3C5A75"/>
    <w:rsid w:val="4FCD0C18"/>
    <w:rsid w:val="4FE6773D"/>
    <w:rsid w:val="50394F28"/>
    <w:rsid w:val="529C3F85"/>
    <w:rsid w:val="52C2485F"/>
    <w:rsid w:val="533D58C6"/>
    <w:rsid w:val="53A616BE"/>
    <w:rsid w:val="53CE7E6C"/>
    <w:rsid w:val="548A6B41"/>
    <w:rsid w:val="55D91766"/>
    <w:rsid w:val="56117A36"/>
    <w:rsid w:val="56177B9B"/>
    <w:rsid w:val="574C7E5B"/>
    <w:rsid w:val="57CB6295"/>
    <w:rsid w:val="58060A85"/>
    <w:rsid w:val="59754E00"/>
    <w:rsid w:val="5AB13C9A"/>
    <w:rsid w:val="5AD2789C"/>
    <w:rsid w:val="5B1851F5"/>
    <w:rsid w:val="5C2C3BCF"/>
    <w:rsid w:val="5D0336DD"/>
    <w:rsid w:val="5D316825"/>
    <w:rsid w:val="5D6E0096"/>
    <w:rsid w:val="5D6F549B"/>
    <w:rsid w:val="5DF20DB4"/>
    <w:rsid w:val="5F765514"/>
    <w:rsid w:val="601F5799"/>
    <w:rsid w:val="60AA20C1"/>
    <w:rsid w:val="622E707A"/>
    <w:rsid w:val="62594E7C"/>
    <w:rsid w:val="629F2B0E"/>
    <w:rsid w:val="63307CF0"/>
    <w:rsid w:val="63E5069E"/>
    <w:rsid w:val="64016376"/>
    <w:rsid w:val="642108EC"/>
    <w:rsid w:val="65F61EF7"/>
    <w:rsid w:val="662270CB"/>
    <w:rsid w:val="67C76829"/>
    <w:rsid w:val="67DA4339"/>
    <w:rsid w:val="67EB54FA"/>
    <w:rsid w:val="67F36A9F"/>
    <w:rsid w:val="688E1EF6"/>
    <w:rsid w:val="68A13DAA"/>
    <w:rsid w:val="695A1E05"/>
    <w:rsid w:val="69686686"/>
    <w:rsid w:val="69912F47"/>
    <w:rsid w:val="6A3001BC"/>
    <w:rsid w:val="6A4C6797"/>
    <w:rsid w:val="6A4E44EE"/>
    <w:rsid w:val="6A9A027E"/>
    <w:rsid w:val="6B05694C"/>
    <w:rsid w:val="6C215EC8"/>
    <w:rsid w:val="6C665133"/>
    <w:rsid w:val="6E9F42EF"/>
    <w:rsid w:val="6F684BD8"/>
    <w:rsid w:val="6FC90A22"/>
    <w:rsid w:val="702B566A"/>
    <w:rsid w:val="703E1E83"/>
    <w:rsid w:val="70D40F33"/>
    <w:rsid w:val="70D94A29"/>
    <w:rsid w:val="713E1760"/>
    <w:rsid w:val="715230E1"/>
    <w:rsid w:val="71867FE1"/>
    <w:rsid w:val="741D28A4"/>
    <w:rsid w:val="7431692A"/>
    <w:rsid w:val="7459720E"/>
    <w:rsid w:val="74E56284"/>
    <w:rsid w:val="75AB44BA"/>
    <w:rsid w:val="762E149D"/>
    <w:rsid w:val="766638BB"/>
    <w:rsid w:val="76B97F24"/>
    <w:rsid w:val="76BC0EC5"/>
    <w:rsid w:val="76F728AB"/>
    <w:rsid w:val="76FB148E"/>
    <w:rsid w:val="77F45F1B"/>
    <w:rsid w:val="781E0889"/>
    <w:rsid w:val="78F7177F"/>
    <w:rsid w:val="79446AAC"/>
    <w:rsid w:val="79E134A8"/>
    <w:rsid w:val="7A361C3B"/>
    <w:rsid w:val="7A400698"/>
    <w:rsid w:val="7AB32B12"/>
    <w:rsid w:val="7AF05A0E"/>
    <w:rsid w:val="7B92353E"/>
    <w:rsid w:val="7D6C0193"/>
    <w:rsid w:val="7E3862DB"/>
    <w:rsid w:val="7F18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3" w:firstLineChars="200"/>
      <w:jc w:val="both"/>
    </w:pPr>
    <w:rPr>
      <w:rFonts w:eastAsia="仿宋_GB2312" w:asciiTheme="minorAscii" w:hAnsiTheme="minorAscii" w:cstheme="minorBidi"/>
      <w:kern w:val="2"/>
      <w:sz w:val="28"/>
      <w:szCs w:val="24"/>
      <w:lang w:val="en-US" w:eastAsia="zh-CN" w:bidi="ar-SA"/>
    </w:rPr>
  </w:style>
  <w:style w:type="paragraph" w:styleId="4">
    <w:name w:val="heading 1"/>
    <w:basedOn w:val="1"/>
    <w:next w:val="1"/>
    <w:qFormat/>
    <w:uiPriority w:val="0"/>
    <w:pPr>
      <w:spacing w:line="360" w:lineRule="auto"/>
      <w:ind w:right="0" w:firstLine="400" w:firstLineChars="200"/>
      <w:jc w:val="left"/>
      <w:outlineLvl w:val="0"/>
    </w:pPr>
    <w:rPr>
      <w:rFonts w:ascii="宋体" w:hAnsi="宋体" w:eastAsia="黑体" w:cs="黑体"/>
      <w:sz w:val="28"/>
      <w:szCs w:val="28"/>
      <w:lang w:val="zh-CN" w:bidi="zh-CN"/>
    </w:rPr>
  </w:style>
  <w:style w:type="paragraph" w:styleId="5">
    <w:name w:val="heading 2"/>
    <w:basedOn w:val="1"/>
    <w:next w:val="1"/>
    <w:link w:val="19"/>
    <w:unhideWhenUsed/>
    <w:qFormat/>
    <w:uiPriority w:val="0"/>
    <w:pPr>
      <w:keepNext/>
      <w:keepLines/>
      <w:spacing w:line="360" w:lineRule="auto"/>
      <w:ind w:firstLine="880" w:firstLineChars="200"/>
      <w:outlineLvl w:val="1"/>
    </w:pPr>
    <w:rPr>
      <w:rFonts w:ascii="楷体" w:hAnsi="楷体" w:eastAsia="楷体_GB2312" w:cs="Times New Roman"/>
      <w:sz w:val="28"/>
    </w:rPr>
  </w:style>
  <w:style w:type="paragraph" w:styleId="6">
    <w:name w:val="heading 3"/>
    <w:basedOn w:val="1"/>
    <w:next w:val="1"/>
    <w:unhideWhenUsed/>
    <w:qFormat/>
    <w:uiPriority w:val="0"/>
    <w:pPr>
      <w:keepNext/>
      <w:keepLines/>
      <w:spacing w:beforeLines="0" w:beforeAutospacing="0" w:afterLines="0" w:afterAutospacing="0" w:line="360" w:lineRule="auto"/>
      <w:ind w:firstLine="723" w:firstLineChars="200"/>
      <w:outlineLvl w:val="2"/>
    </w:pPr>
    <w:rPr>
      <w:rFonts w:eastAsia="仿宋_GB2312"/>
      <w:b/>
    </w:rPr>
  </w:style>
  <w:style w:type="paragraph" w:styleId="7">
    <w:name w:val="heading 5"/>
    <w:basedOn w:val="1"/>
    <w:next w:val="1"/>
    <w:qFormat/>
    <w:uiPriority w:val="1"/>
    <w:pPr>
      <w:spacing w:before="201"/>
      <w:ind w:left="222"/>
      <w:outlineLvl w:val="5"/>
    </w:pPr>
    <w:rPr>
      <w:rFonts w:ascii="宋体" w:hAnsi="宋体" w:eastAsia="宋体" w:cs="宋体"/>
      <w:b/>
      <w:bCs/>
      <w:sz w:val="28"/>
      <w:szCs w:val="28"/>
      <w:lang w:val="en-US" w:eastAsia="zh-CN" w:bidi="ar-SA"/>
    </w:rPr>
  </w:style>
  <w:style w:type="character" w:default="1" w:styleId="16">
    <w:name w:val="Default Paragraph Font"/>
    <w:semiHidden/>
    <w:unhideWhenUsed/>
    <w:qFormat/>
    <w:uiPriority w:val="1"/>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Plain Text"/>
    <w:basedOn w:val="1"/>
    <w:qFormat/>
    <w:uiPriority w:val="0"/>
    <w:rPr>
      <w:rFonts w:ascii="宋体" w:hAnsi="Courier New"/>
      <w:szCs w:val="20"/>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0"/>
    <w:rPr>
      <w:i/>
    </w:rPr>
  </w:style>
  <w:style w:type="character" w:styleId="18">
    <w:name w:val="Hyperlink"/>
    <w:basedOn w:val="16"/>
    <w:qFormat/>
    <w:uiPriority w:val="0"/>
    <w:rPr>
      <w:color w:val="0000FF"/>
      <w:u w:val="single"/>
    </w:rPr>
  </w:style>
  <w:style w:type="character" w:customStyle="1" w:styleId="19">
    <w:name w:val="标题 2 Char"/>
    <w:basedOn w:val="16"/>
    <w:link w:val="5"/>
    <w:qFormat/>
    <w:uiPriority w:val="1"/>
    <w:rPr>
      <w:rFonts w:ascii="楷体" w:hAnsi="楷体" w:eastAsia="楷体_GB2312" w:cs="Times New Roman"/>
      <w:kern w:val="2"/>
      <w:sz w:val="28"/>
      <w:szCs w:val="24"/>
    </w:rPr>
  </w:style>
  <w:style w:type="paragraph" w:styleId="20">
    <w:name w:val="List Paragraph"/>
    <w:basedOn w:val="1"/>
    <w:qFormat/>
    <w:uiPriority w:val="1"/>
    <w:pPr>
      <w:ind w:left="134" w:firstLine="640"/>
    </w:pPr>
    <w:rPr>
      <w:rFonts w:ascii="仿宋" w:hAnsi="仿宋" w:eastAsia="仿宋" w:cs="仿宋"/>
      <w:lang w:val="zh-CN" w:eastAsia="zh-CN" w:bidi="zh-CN"/>
    </w:rPr>
  </w:style>
  <w:style w:type="paragraph" w:customStyle="1" w:styleId="21">
    <w:name w:val="Table Paragraph"/>
    <w:basedOn w:val="1"/>
    <w:qFormat/>
    <w:uiPriority w:val="1"/>
    <w:pPr>
      <w:spacing w:before="17"/>
      <w:jc w:val="center"/>
    </w:pPr>
    <w:rPr>
      <w:rFonts w:ascii="宋体" w:hAnsi="宋体" w:eastAsia="宋体" w:cs="宋体"/>
      <w:lang w:val="en-US" w:eastAsia="zh-CN" w:bidi="ar-SA"/>
    </w:rPr>
  </w:style>
  <w:style w:type="paragraph" w:customStyle="1" w:styleId="22">
    <w:name w:val="闻政正文"/>
    <w:basedOn w:val="1"/>
    <w:next w:val="1"/>
    <w:qFormat/>
    <w:uiPriority w:val="0"/>
    <w:pPr>
      <w:spacing w:line="500" w:lineRule="exact"/>
      <w:ind w:firstLine="560" w:firstLineChars="200"/>
    </w:pPr>
    <w:rPr>
      <w:rFonts w:ascii="Times New Roman" w:hAnsi="Times New Roman" w:eastAsia="仿宋_GB2312"/>
      <w:kern w:val="0"/>
      <w:sz w:val="28"/>
      <w:szCs w:val="28"/>
    </w:rPr>
  </w:style>
  <w:style w:type="paragraph" w:customStyle="1" w:styleId="23">
    <w:name w:val="正文1"/>
    <w:basedOn w:val="1"/>
    <w:qFormat/>
    <w:uiPriority w:val="0"/>
    <w:pPr>
      <w:ind w:firstLine="723" w:firstLineChars="200"/>
    </w:pPr>
    <w:rPr>
      <w:rFonts w:ascii="Times New Roman" w:hAnsi="Times New Roman" w:eastAsia="仿宋" w:cs="Times New Roman"/>
      <w:sz w:val="28"/>
      <w:szCs w:val="22"/>
    </w:rPr>
  </w:style>
  <w:style w:type="character" w:customStyle="1" w:styleId="24">
    <w:name w:val="font11"/>
    <w:basedOn w:val="16"/>
    <w:qFormat/>
    <w:uiPriority w:val="0"/>
    <w:rPr>
      <w:rFonts w:hint="eastAsia" w:ascii="宋体" w:hAnsi="宋体" w:eastAsia="宋体" w:cs="宋体"/>
      <w:b/>
      <w:bCs/>
      <w:color w:val="000000"/>
      <w:sz w:val="20"/>
      <w:szCs w:val="20"/>
      <w:u w:val="none"/>
    </w:rPr>
  </w:style>
  <w:style w:type="character" w:customStyle="1" w:styleId="25">
    <w:name w:val="font31"/>
    <w:basedOn w:val="16"/>
    <w:qFormat/>
    <w:uiPriority w:val="0"/>
    <w:rPr>
      <w:rFonts w:hint="eastAsia" w:ascii="宋体" w:hAnsi="宋体" w:eastAsia="宋体" w:cs="宋体"/>
      <w:b/>
      <w:bCs/>
      <w:color w:val="000000"/>
      <w:sz w:val="20"/>
      <w:szCs w:val="20"/>
      <w:u w:val="none"/>
    </w:rPr>
  </w:style>
  <w:style w:type="table" w:customStyle="1" w:styleId="2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6358</Words>
  <Characters>6772</Characters>
  <Lines>0</Lines>
  <Paragraphs>0</Paragraphs>
  <TotalTime>205</TotalTime>
  <ScaleCrop>false</ScaleCrop>
  <LinksUpToDate>false</LinksUpToDate>
  <CharactersWithSpaces>6774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2021-11-18T02:39:00Z</dcterms:created>
  <dc:creator>李智勇</dc:creator>
  <cp:lastModifiedBy>随意@_@</cp:lastModifiedBy>
  <dcterms:modified xsi:type="dcterms:W3CDTF">2022-09-13T11:33:58Z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9580E549A5D14338A906822AFE37B81F</vt:lpwstr>
  </property>
  <property fmtid="{D5CDD505-2E9C-101B-9397-08002B2CF9AE}" pid="4" name="commondata">
    <vt:lpwstr>eyJoZGlkIjoiNjM1YWI2YjM3YmMyM2M2N2Q3ZDhhNjM1NzA1NDMxOGUifQ==</vt:lpwstr>
  </property>
</Properties>
</file>