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宁武县水利</w:t>
      </w:r>
      <w:r>
        <w:rPr>
          <w:rFonts w:hint="eastAsia" w:ascii="方正小标宋简体" w:hAnsi="方正小标宋简体" w:eastAsia="方正小标宋简体" w:cs="方正小标宋简体"/>
          <w:b w:val="0"/>
          <w:bCs w:val="0"/>
          <w:sz w:val="44"/>
          <w:szCs w:val="44"/>
          <w:lang w:val="en-US" w:eastAsia="zh-CN"/>
        </w:rPr>
        <w:t>水保</w:t>
      </w:r>
      <w:r>
        <w:rPr>
          <w:rFonts w:hint="eastAsia" w:ascii="方正小标宋简体" w:hAnsi="方正小标宋简体" w:eastAsia="方正小标宋简体" w:cs="方正小标宋简体"/>
          <w:b w:val="0"/>
          <w:bCs w:val="0"/>
          <w:sz w:val="44"/>
          <w:szCs w:val="44"/>
        </w:rPr>
        <w:t>局2020年度</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财政赤字</w:t>
      </w:r>
      <w:r>
        <w:rPr>
          <w:rFonts w:hint="eastAsia" w:ascii="方正小标宋简体" w:hAnsi="方正小标宋简体" w:eastAsia="方正小标宋简体" w:cs="方正小标宋简体"/>
          <w:b w:val="0"/>
          <w:bCs w:val="0"/>
          <w:sz w:val="44"/>
          <w:szCs w:val="44"/>
          <w:lang w:val="en-US" w:eastAsia="zh-CN"/>
        </w:rPr>
        <w:t>国债</w:t>
      </w:r>
      <w:r>
        <w:rPr>
          <w:rFonts w:hint="eastAsia" w:ascii="方正小标宋简体" w:hAnsi="方正小标宋简体" w:eastAsia="方正小标宋简体" w:cs="方正小标宋简体"/>
          <w:b w:val="0"/>
          <w:bCs w:val="0"/>
          <w:sz w:val="44"/>
          <w:szCs w:val="44"/>
        </w:rPr>
        <w:t>专项资金绩效评价报告</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恢河干流生态植被建设工程项目</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640" w:firstLineChars="20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1280" w:firstLineChars="4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单位名称：宁武县水利水保局</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1280" w:firstLineChars="4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委托单位：宁武县财政局</w:t>
      </w:r>
    </w:p>
    <w:p>
      <w:pPr>
        <w:pStyle w:val="2"/>
        <w:keepNext w:val="0"/>
        <w:keepLines w:val="0"/>
        <w:pageBreakBefore w:val="0"/>
        <w:widowControl/>
        <w:kinsoku/>
        <w:wordWrap/>
        <w:overflowPunct/>
        <w:topLinePunct w:val="0"/>
        <w:autoSpaceDE/>
        <w:autoSpaceDN/>
        <w:bidi w:val="0"/>
        <w:adjustRightInd/>
        <w:snapToGrid/>
        <w:spacing w:line="360" w:lineRule="auto"/>
        <w:ind w:leftChars="0" w:firstLine="1280" w:firstLineChars="400"/>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评价机构：山西亚泰会计师事务所有限公司</w:t>
      </w:r>
    </w:p>
    <w:p>
      <w:pPr>
        <w:pStyle w:val="2"/>
        <w:keepNext w:val="0"/>
        <w:keepLines w:val="0"/>
        <w:pageBreakBefore w:val="0"/>
        <w:widowControl/>
        <w:kinsoku/>
        <w:wordWrap/>
        <w:overflowPunct/>
        <w:topLinePunct w:val="0"/>
        <w:autoSpaceDE/>
        <w:autoSpaceDN/>
        <w:bidi w:val="0"/>
        <w:adjustRightInd/>
        <w:snapToGrid/>
        <w:spacing w:line="360" w:lineRule="auto"/>
        <w:ind w:leftChars="0"/>
        <w:jc w:val="center"/>
        <w:outlineLvl w:val="9"/>
        <w:rPr>
          <w:rFonts w:hint="eastAsia" w:ascii="黑体" w:hAnsi="黑体" w:eastAsia="黑体" w:cs="黑体"/>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360" w:lineRule="auto"/>
        <w:ind w:leftChars="0"/>
        <w:jc w:val="center"/>
        <w:outlineLvl w:val="9"/>
        <w:rPr>
          <w:rFonts w:hint="eastAsia" w:ascii="黑体" w:hAnsi="黑体" w:eastAsia="黑体" w:cs="黑体"/>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360" w:lineRule="auto"/>
        <w:ind w:leftChars="0"/>
        <w:jc w:val="center"/>
        <w:outlineLvl w:val="9"/>
        <w:rPr>
          <w:rFonts w:hint="eastAsia" w:ascii="黑体" w:hAnsi="黑体" w:eastAsia="黑体" w:cs="黑体"/>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黑体" w:hAnsi="黑体" w:eastAsia="黑体" w:cs="黑体"/>
          <w:sz w:val="32"/>
          <w:szCs w:val="32"/>
          <w:lang w:val="en-US" w:eastAsia="zh-CN"/>
        </w:rPr>
        <w:sectPr>
          <w:headerReference r:id="rId5" w:type="default"/>
          <w:pgSz w:w="11906" w:h="16838"/>
          <w:pgMar w:top="2041" w:right="1417" w:bottom="1417" w:left="1531"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黑体" w:hAnsi="黑体" w:eastAsia="黑体" w:cs="黑体"/>
          <w:sz w:val="32"/>
          <w:szCs w:val="32"/>
          <w:lang w:val="en-US" w:eastAsia="zh-CN"/>
        </w:rPr>
        <w:t>二〇二一年十月</w:t>
      </w:r>
    </w:p>
    <w:p>
      <w:pPr>
        <w:keepNext w:val="0"/>
        <w:keepLines w:val="0"/>
        <w:pageBreakBefore w:val="0"/>
        <w:widowControl/>
        <w:kinsoku/>
        <w:wordWrap/>
        <w:overflowPunct/>
        <w:topLinePunct w:val="0"/>
        <w:autoSpaceDE/>
        <w:autoSpaceDN/>
        <w:bidi w:val="0"/>
        <w:adjustRightInd/>
        <w:snapToGrid/>
        <w:spacing w:line="360" w:lineRule="auto"/>
        <w:ind w:leftChars="0" w:right="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bookmarkStart w:id="0" w:name="_Toc9543_WPSOffice_Level1"/>
      <w:bookmarkStart w:id="1" w:name="_Toc23211_WPSOffice_Level1"/>
      <w:bookmarkStart w:id="2" w:name="_Toc3065"/>
      <w:bookmarkStart w:id="3" w:name="_Toc17317"/>
      <w:bookmarkStart w:id="4" w:name="_Toc9051"/>
      <w:bookmarkStart w:id="5" w:name="_Toc4102_WPSOffice_Level1"/>
      <w:bookmarkStart w:id="6" w:name="_Toc27133_WPSOffice_Level1"/>
      <w:bookmarkStart w:id="7" w:name="_Toc31190_WPSOffice_Level1"/>
      <w:r>
        <w:rPr>
          <w:rFonts w:hint="eastAsia" w:ascii="方正小标宋简体" w:hAnsi="方正小标宋简体" w:eastAsia="方正小标宋简体" w:cs="方正小标宋简体"/>
          <w:b w:val="0"/>
          <w:bCs w:val="0"/>
          <w:sz w:val="36"/>
          <w:szCs w:val="36"/>
        </w:rPr>
        <w:t>宁武县</w:t>
      </w:r>
      <w:bookmarkEnd w:id="0"/>
      <w:bookmarkEnd w:id="1"/>
      <w:bookmarkStart w:id="8" w:name="_Toc1973_WPSOffice_Level1"/>
      <w:bookmarkStart w:id="9" w:name="_Toc16204_WPSOffice_Level1"/>
      <w:r>
        <w:rPr>
          <w:rFonts w:hint="eastAsia" w:ascii="方正小标宋简体" w:hAnsi="方正小标宋简体" w:eastAsia="方正小标宋简体" w:cs="方正小标宋简体"/>
          <w:b w:val="0"/>
          <w:bCs w:val="0"/>
          <w:sz w:val="36"/>
          <w:szCs w:val="36"/>
          <w:lang w:eastAsia="zh-CN"/>
        </w:rPr>
        <w:t>水利水保局</w:t>
      </w:r>
      <w:r>
        <w:rPr>
          <w:rFonts w:hint="eastAsia" w:ascii="方正小标宋简体" w:hAnsi="方正小标宋简体" w:eastAsia="方正小标宋简体" w:cs="方正小标宋简体"/>
          <w:b w:val="0"/>
          <w:bCs w:val="0"/>
          <w:sz w:val="36"/>
          <w:szCs w:val="36"/>
          <w:lang w:val="en-US" w:eastAsia="zh-CN"/>
        </w:rPr>
        <w:t>恢河干流生态植被建设工程项目</w:t>
      </w:r>
      <w:bookmarkEnd w:id="2"/>
      <w:bookmarkEnd w:id="3"/>
      <w:bookmarkEnd w:id="4"/>
    </w:p>
    <w:p>
      <w:pPr>
        <w:keepNext w:val="0"/>
        <w:keepLines w:val="0"/>
        <w:pageBreakBefore w:val="0"/>
        <w:widowControl/>
        <w:kinsoku/>
        <w:wordWrap/>
        <w:overflowPunct/>
        <w:topLinePunct w:val="0"/>
        <w:autoSpaceDE/>
        <w:autoSpaceDN/>
        <w:bidi w:val="0"/>
        <w:adjustRightInd/>
        <w:snapToGrid/>
        <w:spacing w:line="360" w:lineRule="auto"/>
        <w:ind w:leftChars="0" w:right="0"/>
        <w:jc w:val="center"/>
        <w:textAlignment w:val="auto"/>
        <w:outlineLvl w:val="9"/>
        <w:rPr>
          <w:rFonts w:hint="eastAsia" w:ascii="方正小标宋简体" w:hAnsi="方正小标宋简体" w:eastAsia="方正小标宋简体" w:cs="方正小标宋简体"/>
          <w:b w:val="0"/>
          <w:bCs w:val="0"/>
          <w:sz w:val="36"/>
          <w:szCs w:val="36"/>
        </w:rPr>
      </w:pPr>
      <w:bookmarkStart w:id="10" w:name="_Toc30573"/>
      <w:bookmarkStart w:id="11" w:name="_Toc7600"/>
      <w:bookmarkStart w:id="12" w:name="_Toc27132"/>
      <w:r>
        <w:rPr>
          <w:rFonts w:hint="eastAsia" w:ascii="方正小标宋简体" w:hAnsi="方正小标宋简体" w:eastAsia="方正小标宋简体" w:cs="方正小标宋简体"/>
          <w:b w:val="0"/>
          <w:bCs w:val="0"/>
          <w:sz w:val="36"/>
          <w:szCs w:val="36"/>
        </w:rPr>
        <w:t>专项资金绩效评价报告</w:t>
      </w:r>
      <w:bookmarkEnd w:id="5"/>
      <w:bookmarkEnd w:id="6"/>
      <w:bookmarkEnd w:id="7"/>
      <w:bookmarkEnd w:id="8"/>
      <w:bookmarkEnd w:id="9"/>
      <w:bookmarkEnd w:id="10"/>
      <w:bookmarkEnd w:id="11"/>
      <w:bookmarkEnd w:id="12"/>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黑体" w:hAnsi="黑体" w:eastAsia="黑体" w:cs="黑体"/>
          <w:b w:val="0"/>
          <w:bCs w:val="0"/>
          <w:sz w:val="28"/>
          <w:szCs w:val="28"/>
          <w:lang w:val="en-US" w:eastAsia="zh-CN"/>
        </w:rPr>
      </w:pPr>
      <w:bookmarkStart w:id="13" w:name="_Toc13435"/>
      <w:bookmarkStart w:id="14" w:name="_Toc30687"/>
      <w:r>
        <w:rPr>
          <w:rFonts w:hint="eastAsia" w:ascii="仿宋_GB2312" w:hAnsi="仿宋_GB2312" w:eastAsia="仿宋_GB2312" w:cs="仿宋_GB2312"/>
          <w:i w:val="0"/>
          <w:iCs w:val="0"/>
          <w:caps w:val="0"/>
          <w:color w:val="000000"/>
          <w:spacing w:val="0"/>
          <w:sz w:val="28"/>
          <w:szCs w:val="27"/>
          <w:highlight w:val="none"/>
          <w:lang w:val="en-US" w:eastAsia="zh-CN"/>
        </w:rPr>
        <w:t>为深入贯彻落实《中共山西省委 山西省人民政府关于全面实施预算绩效管理的实施意见》（晋发〔2018〕39号）文件精神，全面实施预算绩效管理，提高财政资源配置效率和使用效益，增强财政支出的责任和效率意识，根据《关于开</w:t>
      </w:r>
      <w:r>
        <w:rPr>
          <w:rFonts w:hint="eastAsia" w:ascii="仿宋_GB2312" w:hAnsi="仿宋_GB2312" w:eastAsia="仿宋_GB2312" w:cs="仿宋_GB2312"/>
          <w:i w:val="0"/>
          <w:iCs w:val="0"/>
          <w:caps w:val="0"/>
          <w:color w:val="auto"/>
          <w:spacing w:val="0"/>
          <w:sz w:val="28"/>
          <w:szCs w:val="27"/>
          <w:highlight w:val="none"/>
          <w:u w:val="none"/>
          <w:lang w:val="en-US" w:eastAsia="zh-CN"/>
        </w:rPr>
        <w:t>展2020年度项目支出绩效评价工作的通知》（宁财字〔2021〕13号），受</w:t>
      </w:r>
      <w:r>
        <w:rPr>
          <w:rFonts w:hint="eastAsia" w:ascii="仿宋_GB2312" w:hAnsi="仿宋_GB2312" w:cs="仿宋_GB2312"/>
          <w:i w:val="0"/>
          <w:iCs w:val="0"/>
          <w:caps w:val="0"/>
          <w:color w:val="auto"/>
          <w:spacing w:val="0"/>
          <w:sz w:val="28"/>
          <w:szCs w:val="27"/>
          <w:highlight w:val="none"/>
          <w:u w:val="none"/>
          <w:lang w:val="en-US" w:eastAsia="zh-CN"/>
        </w:rPr>
        <w:t>宁武县财政局</w:t>
      </w:r>
      <w:r>
        <w:rPr>
          <w:rFonts w:hint="eastAsia" w:ascii="仿宋_GB2312" w:hAnsi="仿宋_GB2312" w:eastAsia="仿宋_GB2312" w:cs="仿宋_GB2312"/>
          <w:i w:val="0"/>
          <w:iCs w:val="0"/>
          <w:caps w:val="0"/>
          <w:color w:val="auto"/>
          <w:spacing w:val="0"/>
          <w:sz w:val="28"/>
          <w:szCs w:val="27"/>
          <w:highlight w:val="none"/>
          <w:u w:val="none"/>
          <w:lang w:val="en-US" w:eastAsia="zh-CN"/>
        </w:rPr>
        <w:t>委托，</w:t>
      </w:r>
      <w:r>
        <w:rPr>
          <w:rFonts w:hint="eastAsia" w:ascii="仿宋_GB2312" w:hAnsi="仿宋_GB2312" w:cs="仿宋_GB2312"/>
          <w:i w:val="0"/>
          <w:iCs w:val="0"/>
          <w:caps w:val="0"/>
          <w:color w:val="auto"/>
          <w:spacing w:val="0"/>
          <w:sz w:val="28"/>
          <w:szCs w:val="27"/>
          <w:highlight w:val="none"/>
          <w:u w:val="none"/>
          <w:lang w:val="en-US" w:eastAsia="zh-CN"/>
        </w:rPr>
        <w:t>山西亚泰会计师事务所有限公司</w:t>
      </w:r>
      <w:r>
        <w:rPr>
          <w:rFonts w:hint="eastAsia" w:ascii="仿宋_GB2312" w:hAnsi="仿宋_GB2312" w:eastAsia="仿宋_GB2312" w:cs="仿宋_GB2312"/>
          <w:i w:val="0"/>
          <w:iCs w:val="0"/>
          <w:caps w:val="0"/>
          <w:color w:val="auto"/>
          <w:spacing w:val="0"/>
          <w:sz w:val="28"/>
          <w:szCs w:val="27"/>
          <w:highlight w:val="none"/>
          <w:u w:val="none"/>
          <w:lang w:val="en-US" w:eastAsia="zh-CN"/>
        </w:rPr>
        <w:t>于</w:t>
      </w:r>
      <w:r>
        <w:rPr>
          <w:rFonts w:hint="eastAsia" w:ascii="仿宋_GB2312" w:hAnsi="仿宋_GB2312" w:cs="仿宋_GB2312"/>
          <w:i w:val="0"/>
          <w:iCs w:val="0"/>
          <w:caps w:val="0"/>
          <w:color w:val="auto"/>
          <w:spacing w:val="0"/>
          <w:sz w:val="28"/>
          <w:szCs w:val="27"/>
          <w:highlight w:val="none"/>
          <w:u w:val="none"/>
          <w:lang w:val="en-US" w:eastAsia="zh-CN"/>
        </w:rPr>
        <w:t>2021</w:t>
      </w:r>
      <w:r>
        <w:rPr>
          <w:rFonts w:hint="eastAsia" w:ascii="仿宋_GB2312" w:hAnsi="仿宋_GB2312" w:eastAsia="仿宋_GB2312" w:cs="仿宋_GB2312"/>
          <w:i w:val="0"/>
          <w:iCs w:val="0"/>
          <w:caps w:val="0"/>
          <w:color w:val="auto"/>
          <w:spacing w:val="0"/>
          <w:sz w:val="28"/>
          <w:szCs w:val="27"/>
          <w:highlight w:val="none"/>
          <w:u w:val="none"/>
          <w:lang w:val="en-US" w:eastAsia="zh-CN"/>
        </w:rPr>
        <w:t>年</w:t>
      </w:r>
      <w:r>
        <w:rPr>
          <w:rFonts w:hint="eastAsia" w:ascii="仿宋_GB2312" w:hAnsi="仿宋_GB2312" w:cs="仿宋_GB2312"/>
          <w:i w:val="0"/>
          <w:iCs w:val="0"/>
          <w:caps w:val="0"/>
          <w:color w:val="auto"/>
          <w:spacing w:val="0"/>
          <w:sz w:val="28"/>
          <w:szCs w:val="27"/>
          <w:highlight w:val="none"/>
          <w:u w:val="none"/>
          <w:lang w:val="en-US" w:eastAsia="zh-CN"/>
        </w:rPr>
        <w:t>10</w:t>
      </w:r>
      <w:r>
        <w:rPr>
          <w:rFonts w:hint="eastAsia" w:ascii="仿宋_GB2312" w:hAnsi="仿宋_GB2312" w:eastAsia="仿宋_GB2312" w:cs="仿宋_GB2312"/>
          <w:i w:val="0"/>
          <w:iCs w:val="0"/>
          <w:caps w:val="0"/>
          <w:color w:val="auto"/>
          <w:spacing w:val="0"/>
          <w:sz w:val="28"/>
          <w:szCs w:val="27"/>
          <w:highlight w:val="none"/>
          <w:u w:val="none"/>
          <w:lang w:val="en-US" w:eastAsia="zh-CN"/>
        </w:rPr>
        <w:t>月对</w:t>
      </w:r>
      <w:r>
        <w:rPr>
          <w:rFonts w:hint="eastAsia" w:ascii="仿宋_GB2312" w:hAnsi="仿宋_GB2312" w:cs="仿宋_GB2312"/>
          <w:i w:val="0"/>
          <w:iCs w:val="0"/>
          <w:caps w:val="0"/>
          <w:color w:val="auto"/>
          <w:spacing w:val="0"/>
          <w:sz w:val="28"/>
          <w:szCs w:val="27"/>
          <w:highlight w:val="none"/>
          <w:u w:val="none"/>
          <w:lang w:val="en-US" w:eastAsia="zh-CN"/>
        </w:rPr>
        <w:t>宁武县水利水保局恢河干流生态植被建设项目专项资金</w:t>
      </w:r>
      <w:r>
        <w:rPr>
          <w:rFonts w:hint="eastAsia" w:ascii="仿宋_GB2312" w:hAnsi="仿宋_GB2312" w:eastAsia="仿宋_GB2312" w:cs="仿宋_GB2312"/>
          <w:i w:val="0"/>
          <w:iCs w:val="0"/>
          <w:caps w:val="0"/>
          <w:color w:val="auto"/>
          <w:spacing w:val="0"/>
          <w:sz w:val="28"/>
          <w:szCs w:val="27"/>
          <w:highlight w:val="none"/>
          <w:u w:val="none"/>
          <w:lang w:val="en-US" w:eastAsia="zh-CN"/>
        </w:rPr>
        <w:t>进行了绩效评价，现将此次绩效评价情况</w:t>
      </w:r>
      <w:r>
        <w:rPr>
          <w:rFonts w:hint="eastAsia" w:ascii="仿宋_GB2312" w:hAnsi="仿宋_GB2312" w:eastAsia="仿宋_GB2312" w:cs="仿宋_GB2312"/>
          <w:i w:val="0"/>
          <w:iCs w:val="0"/>
          <w:caps w:val="0"/>
          <w:color w:val="000000"/>
          <w:spacing w:val="0"/>
          <w:sz w:val="28"/>
          <w:szCs w:val="27"/>
          <w:highlight w:val="none"/>
          <w:lang w:val="en-US" w:eastAsia="zh-CN"/>
        </w:rPr>
        <w:t>报告如下。</w:t>
      </w:r>
      <w:bookmarkEnd w:id="13"/>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0"/>
        <w:rPr>
          <w:rFonts w:hint="eastAsia" w:ascii="黑体" w:hAnsi="黑体" w:eastAsia="黑体" w:cs="黑体"/>
          <w:b w:val="0"/>
          <w:bCs w:val="0"/>
          <w:sz w:val="28"/>
          <w:szCs w:val="28"/>
          <w:lang w:val="en-US" w:eastAsia="zh-CN"/>
        </w:rPr>
      </w:pPr>
      <w:bookmarkStart w:id="15" w:name="_Toc6689"/>
      <w:r>
        <w:rPr>
          <w:rFonts w:hint="eastAsia" w:ascii="黑体" w:hAnsi="黑体" w:eastAsia="黑体" w:cs="黑体"/>
          <w:b w:val="0"/>
          <w:bCs w:val="0"/>
          <w:sz w:val="28"/>
          <w:szCs w:val="28"/>
          <w:lang w:val="en-US" w:eastAsia="zh-CN"/>
        </w:rPr>
        <w:t>一、项目基本情况</w:t>
      </w:r>
      <w:bookmarkEnd w:id="14"/>
      <w:bookmarkEnd w:id="15"/>
    </w:p>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16" w:name="_Toc19841"/>
      <w:bookmarkStart w:id="17" w:name="_Toc10392"/>
      <w:r>
        <w:rPr>
          <w:rFonts w:hint="eastAsia" w:ascii="楷体_GB2312" w:hAnsi="楷体_GB2312" w:eastAsia="楷体_GB2312" w:cs="楷体_GB2312"/>
          <w:i w:val="0"/>
          <w:iCs w:val="0"/>
          <w:caps w:val="0"/>
          <w:color w:val="000000"/>
          <w:spacing w:val="0"/>
          <w:sz w:val="28"/>
          <w:szCs w:val="28"/>
          <w:highlight w:val="none"/>
        </w:rPr>
        <w:t>（一）项目概况</w:t>
      </w:r>
      <w:bookmarkEnd w:id="16"/>
      <w:bookmarkEnd w:id="17"/>
    </w:p>
    <w:p>
      <w:pPr>
        <w:pStyle w:val="6"/>
        <w:bidi w:val="0"/>
        <w:rPr>
          <w:rFonts w:hint="eastAsia"/>
        </w:rPr>
      </w:pPr>
      <w:r>
        <w:rPr>
          <w:rFonts w:hint="eastAsia"/>
          <w:lang w:val="en-US" w:eastAsia="zh-CN"/>
        </w:rPr>
        <w:t>1.</w:t>
      </w:r>
      <w:r>
        <w:rPr>
          <w:rFonts w:hint="eastAsia"/>
        </w:rPr>
        <w:t>项目背景</w:t>
      </w:r>
    </w:p>
    <w:p>
      <w:pPr>
        <w:pStyle w:val="2"/>
        <w:keepNext w:val="0"/>
        <w:keepLines w:val="0"/>
        <w:pageBreakBefore w:val="0"/>
        <w:widowControl/>
        <w:kinsoku/>
        <w:wordWrap/>
        <w:overflowPunct/>
        <w:topLinePunct w:val="0"/>
        <w:autoSpaceDE/>
        <w:autoSpaceDN/>
        <w:bidi w:val="0"/>
        <w:adjustRightInd w:val="0"/>
        <w:snapToGrid w:val="0"/>
        <w:spacing w:line="360" w:lineRule="auto"/>
        <w:ind w:leftChars="0" w:right="0" w:firstLine="560" w:firstLineChars="200"/>
        <w:jc w:val="both"/>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2013年11月</w:t>
      </w:r>
      <w:r>
        <w:rPr>
          <w:rFonts w:hint="eastAsia" w:cs="仿宋_GB2312"/>
          <w:sz w:val="28"/>
          <w:szCs w:val="28"/>
          <w:lang w:val="en-US" w:eastAsia="zh-CN"/>
        </w:rPr>
        <w:t>，</w:t>
      </w:r>
      <w:r>
        <w:rPr>
          <w:rFonts w:hint="eastAsia" w:ascii="仿宋_GB2312" w:hAnsi="仿宋_GB2312" w:cs="仿宋_GB2312"/>
          <w:sz w:val="28"/>
          <w:szCs w:val="28"/>
          <w:lang w:val="en-US" w:eastAsia="zh-CN"/>
        </w:rPr>
        <w:t>习近平总书记</w:t>
      </w:r>
      <w:r>
        <w:rPr>
          <w:rFonts w:hint="eastAsia" w:cs="仿宋_GB2312"/>
          <w:sz w:val="28"/>
          <w:szCs w:val="28"/>
          <w:lang w:val="en-US" w:eastAsia="zh-CN"/>
        </w:rPr>
        <w:t>在《中共中央关于全面深化改革若干重大问题的决定》中提</w:t>
      </w:r>
      <w:r>
        <w:rPr>
          <w:rFonts w:hint="eastAsia" w:ascii="仿宋_GB2312" w:hAnsi="仿宋_GB2312" w:cs="仿宋_GB2312"/>
          <w:sz w:val="28"/>
          <w:szCs w:val="28"/>
          <w:lang w:val="en-US" w:eastAsia="zh-CN"/>
        </w:rPr>
        <w:t>出“山水林田湖是一个生命共同体”</w:t>
      </w:r>
      <w:r>
        <w:rPr>
          <w:rFonts w:hint="eastAsia" w:cs="仿宋_GB2312"/>
          <w:sz w:val="28"/>
          <w:szCs w:val="28"/>
          <w:lang w:val="en-US" w:eastAsia="zh-CN"/>
        </w:rPr>
        <w:t>的理念，</w:t>
      </w:r>
      <w:r>
        <w:rPr>
          <w:rFonts w:hint="eastAsia" w:ascii="仿宋_GB2312" w:hAnsi="仿宋_GB2312" w:cs="仿宋_GB2312"/>
          <w:sz w:val="28"/>
          <w:szCs w:val="28"/>
          <w:lang w:val="en-US" w:eastAsia="zh-CN"/>
        </w:rPr>
        <w:t>创新了中国特色的人地关系思想。习近平总书记指出：“人的命脉在田，田的命脉在水，水的命脉在山，山的命脉在土，土的命脉在树”</w:t>
      </w:r>
      <w:r>
        <w:rPr>
          <w:rFonts w:hint="eastAsia" w:cs="仿宋_GB2312"/>
          <w:sz w:val="28"/>
          <w:szCs w:val="28"/>
          <w:lang w:val="en-US" w:eastAsia="zh-CN"/>
        </w:rPr>
        <w:t>。要</w:t>
      </w:r>
      <w:r>
        <w:rPr>
          <w:rFonts w:hint="eastAsia" w:ascii="仿宋_GB2312" w:hAnsi="仿宋_GB2312" w:cs="仿宋_GB2312"/>
          <w:sz w:val="28"/>
          <w:szCs w:val="28"/>
          <w:lang w:val="en-US" w:eastAsia="zh-CN"/>
        </w:rPr>
        <w:t>统筹山水林田湖草系统治理</w:t>
      </w:r>
      <w:r>
        <w:rPr>
          <w:rFonts w:hint="eastAsia" w:cs="仿宋_GB2312"/>
          <w:sz w:val="28"/>
          <w:szCs w:val="28"/>
          <w:lang w:val="en-US" w:eastAsia="zh-CN"/>
        </w:rPr>
        <w:t>，</w:t>
      </w:r>
      <w:r>
        <w:rPr>
          <w:rFonts w:hint="eastAsia" w:ascii="仿宋_GB2312" w:hAnsi="仿宋_GB2312" w:cs="仿宋_GB2312"/>
          <w:sz w:val="28"/>
          <w:szCs w:val="28"/>
          <w:lang w:val="en-US" w:eastAsia="zh-CN"/>
        </w:rPr>
        <w:t>全方位、全地域、全过程开展生态文明建设。</w:t>
      </w:r>
    </w:p>
    <w:p>
      <w:pPr>
        <w:pStyle w:val="2"/>
        <w:keepNext w:val="0"/>
        <w:keepLines w:val="0"/>
        <w:pageBreakBefore w:val="0"/>
        <w:widowControl/>
        <w:kinsoku/>
        <w:wordWrap/>
        <w:overflowPunct/>
        <w:topLinePunct w:val="0"/>
        <w:autoSpaceDE/>
        <w:autoSpaceDN/>
        <w:bidi w:val="0"/>
        <w:adjustRightInd w:val="0"/>
        <w:snapToGrid w:val="0"/>
        <w:spacing w:line="360" w:lineRule="auto"/>
        <w:ind w:leftChars="0" w:right="0" w:firstLine="560" w:firstLineChars="200"/>
        <w:jc w:val="both"/>
        <w:textAlignment w:val="auto"/>
        <w:rPr>
          <w:rFonts w:hint="eastAsia"/>
          <w:spacing w:val="-3"/>
          <w:lang w:val="en-US" w:eastAsia="zh-CN"/>
        </w:rPr>
      </w:pPr>
      <w:r>
        <w:rPr>
          <w:rFonts w:hint="eastAsia" w:ascii="仿宋_GB2312" w:hAnsi="仿宋_GB2312" w:cs="仿宋_GB2312"/>
          <w:sz w:val="28"/>
          <w:szCs w:val="28"/>
          <w:lang w:val="en-US" w:eastAsia="zh-CN"/>
        </w:rPr>
        <w:t>2015年10月，在</w:t>
      </w:r>
      <w:r>
        <w:rPr>
          <w:rFonts w:hint="eastAsia" w:cs="仿宋_GB2312"/>
          <w:sz w:val="28"/>
          <w:szCs w:val="28"/>
          <w:lang w:val="en-US" w:eastAsia="zh-CN"/>
        </w:rPr>
        <w:t>中共十八届五中全会</w:t>
      </w:r>
      <w:r>
        <w:rPr>
          <w:rFonts w:hint="eastAsia" w:ascii="仿宋_GB2312" w:hAnsi="仿宋_GB2312" w:cs="仿宋_GB2312"/>
          <w:sz w:val="28"/>
          <w:szCs w:val="28"/>
          <w:lang w:val="en-US" w:eastAsia="zh-CN"/>
        </w:rPr>
        <w:t>上党中央和国务院高度重视生态文明建设，会议提出“实施山水林田湖生态保护和修复工程，筑牢生态安全屏障，开展大规模国土绿化行动，完善天然林保护制度”。2016年9月国家财政部、原国土资源部、原环境保护部为贯彻落实党</w:t>
      </w:r>
      <w:r>
        <w:rPr>
          <w:rFonts w:hint="eastAsia" w:cs="仿宋_GB2312"/>
          <w:sz w:val="28"/>
          <w:szCs w:val="28"/>
          <w:lang w:val="en-US" w:eastAsia="zh-CN"/>
        </w:rPr>
        <w:t>的</w:t>
      </w:r>
      <w:r>
        <w:rPr>
          <w:rFonts w:hint="eastAsia" w:ascii="仿宋_GB2312" w:hAnsi="仿宋_GB2312" w:cs="仿宋_GB2312"/>
          <w:sz w:val="28"/>
          <w:szCs w:val="28"/>
          <w:lang w:val="en-US" w:eastAsia="zh-CN"/>
        </w:rPr>
        <w:t>十八届五中全会提出的实施山水林田湖生态保护和修复工程、筑牢生态安全屏障这一精神，联合印发了《关于推进山水林田湖生态保护修</w:t>
      </w:r>
      <w:bookmarkStart w:id="61" w:name="_GoBack"/>
      <w:bookmarkEnd w:id="61"/>
      <w:r>
        <w:rPr>
          <w:rFonts w:hint="eastAsia" w:ascii="仿宋_GB2312" w:hAnsi="仿宋_GB2312" w:cs="仿宋_GB2312"/>
          <w:sz w:val="28"/>
          <w:szCs w:val="28"/>
          <w:lang w:val="en-US" w:eastAsia="zh-CN"/>
        </w:rPr>
        <w:t>复工作的通知》（财建〔2016〕725号）。文件指出各级部门首先应充分认识开展山水林田湖生态保护修复的重要意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pStyle w:val="2"/>
        <w:keepNext w:val="0"/>
        <w:keepLines w:val="0"/>
        <w:pageBreakBefore w:val="0"/>
        <w:widowControl/>
        <w:kinsoku/>
        <w:wordWrap/>
        <w:overflowPunct/>
        <w:topLinePunct w:val="0"/>
        <w:autoSpaceDE/>
        <w:autoSpaceDN/>
        <w:bidi w:val="0"/>
        <w:adjustRightInd w:val="0"/>
        <w:snapToGrid w:val="0"/>
        <w:spacing w:line="360" w:lineRule="auto"/>
        <w:ind w:leftChars="0" w:right="0" w:firstLine="560" w:firstLineChars="200"/>
        <w:jc w:val="both"/>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cs="仿宋_GB2312"/>
          <w:b w:val="0"/>
          <w:bCs w:val="0"/>
          <w:sz w:val="28"/>
          <w:szCs w:val="28"/>
          <w:lang w:val="en-US" w:eastAsia="zh-CN"/>
        </w:rPr>
      </w:pPr>
      <w:r>
        <w:rPr>
          <w:rFonts w:hint="eastAsia" w:cs="仿宋_GB2312"/>
          <w:sz w:val="28"/>
          <w:szCs w:val="28"/>
          <w:lang w:val="zh-CN" w:eastAsia="zh-CN"/>
        </w:rPr>
        <w:t>山西省委</w:t>
      </w:r>
      <w:r>
        <w:rPr>
          <w:rFonts w:hint="eastAsia" w:ascii="仿宋_GB2312" w:hAnsi="仿宋_GB2312" w:cs="仿宋_GB2312"/>
          <w:sz w:val="28"/>
          <w:szCs w:val="28"/>
          <w:lang w:val="zh-CN" w:eastAsia="zh-CN"/>
        </w:rPr>
        <w:t>、省政府对生态文明建设高度重视，针对山西煤长水短，水资源严重匮乏，各种要素互相叠加，互为影响，生态损害严重</w:t>
      </w:r>
      <w:r>
        <w:rPr>
          <w:rFonts w:hint="eastAsia" w:ascii="仿宋_GB2312" w:hAnsi="仿宋_GB2312" w:cs="仿宋_GB2312"/>
          <w:sz w:val="28"/>
          <w:szCs w:val="28"/>
          <w:lang w:val="en-US" w:eastAsia="zh-CN"/>
        </w:rPr>
        <w:t>的现实情况</w:t>
      </w:r>
      <w:r>
        <w:rPr>
          <w:rFonts w:hint="eastAsia" w:ascii="仿宋_GB2312" w:hAnsi="仿宋_GB2312" w:cs="仿宋_GB2312"/>
          <w:sz w:val="28"/>
          <w:szCs w:val="28"/>
          <w:lang w:val="zh-CN" w:eastAsia="zh-CN"/>
        </w:rPr>
        <w:t>，着手</w:t>
      </w:r>
      <w:r>
        <w:rPr>
          <w:rFonts w:hint="eastAsia" w:cs="仿宋_GB2312"/>
          <w:sz w:val="28"/>
          <w:szCs w:val="28"/>
          <w:lang w:val="en-US" w:eastAsia="zh-CN"/>
        </w:rPr>
        <w:t>恢</w:t>
      </w:r>
      <w:r>
        <w:rPr>
          <w:rFonts w:hint="eastAsia" w:ascii="仿宋_GB2312" w:hAnsi="仿宋_GB2312" w:cs="仿宋_GB2312"/>
          <w:sz w:val="28"/>
          <w:szCs w:val="28"/>
          <w:lang w:val="zh-CN" w:eastAsia="zh-CN"/>
        </w:rPr>
        <w:t>河流域生态修复治理工作，立足山水林田湖草，统筹自然生态多种要素，以兴水增绿为重点，加强生态环境治理</w:t>
      </w:r>
      <w:r>
        <w:rPr>
          <w:rFonts w:hint="eastAsia" w:ascii="仿宋_GB2312" w:hAnsi="仿宋_GB2312" w:cs="仿宋_GB2312"/>
          <w:sz w:val="28"/>
          <w:szCs w:val="28"/>
          <w:lang w:val="en-US" w:eastAsia="zh-CN"/>
        </w:rPr>
        <w:t>和</w:t>
      </w:r>
      <w:r>
        <w:rPr>
          <w:rFonts w:hint="eastAsia" w:ascii="仿宋_GB2312" w:hAnsi="仿宋_GB2312" w:cs="仿宋_GB2312"/>
          <w:sz w:val="28"/>
          <w:szCs w:val="28"/>
          <w:lang w:val="zh-CN" w:eastAsia="zh-CN"/>
        </w:rPr>
        <w:t>保护，系统推进水土保持、水污染防治、水生态保护等工作。</w:t>
      </w:r>
    </w:p>
    <w:p>
      <w:pPr>
        <w:pStyle w:val="6"/>
        <w:bidi w:val="0"/>
        <w:rPr>
          <w:rFonts w:hint="eastAsia"/>
          <w:lang w:val="en-US" w:eastAsia="zh-CN"/>
        </w:rPr>
      </w:pPr>
      <w:bookmarkStart w:id="18" w:name="_Toc21050"/>
      <w:r>
        <w:rPr>
          <w:rFonts w:hint="eastAsia"/>
          <w:lang w:val="en-US" w:eastAsia="zh-CN"/>
        </w:rPr>
        <w:t>2.项目主要建设内容及实施情况</w:t>
      </w:r>
      <w:bookmarkEnd w:id="18"/>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cs="仿宋_GB2312"/>
          <w:b w:val="0"/>
          <w:bCs w:val="0"/>
          <w:sz w:val="28"/>
          <w:szCs w:val="28"/>
          <w:lang w:val="en-US" w:eastAsia="zh-CN"/>
        </w:rPr>
      </w:pPr>
      <w:r>
        <w:rPr>
          <w:rFonts w:hint="eastAsia" w:cs="仿宋_GB2312"/>
          <w:b w:val="0"/>
          <w:bCs w:val="0"/>
          <w:sz w:val="28"/>
          <w:szCs w:val="28"/>
          <w:lang w:val="en-US" w:eastAsia="zh-CN"/>
        </w:rPr>
        <w:t>（1）主要建设内容</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本项目为“恢河干流生态植被建设工程”，</w:t>
      </w:r>
      <w:r>
        <w:rPr>
          <w:rFonts w:hint="eastAsia" w:ascii="仿宋_GB2312" w:hAnsi="仿宋_GB2312" w:cs="仿宋_GB2312"/>
          <w:sz w:val="28"/>
          <w:szCs w:val="28"/>
          <w:lang w:val="en-US" w:eastAsia="zh-CN"/>
        </w:rPr>
        <w:t>根据《</w:t>
      </w:r>
      <w:r>
        <w:rPr>
          <w:rFonts w:hint="eastAsia" w:cs="仿宋_GB2312"/>
          <w:sz w:val="28"/>
          <w:szCs w:val="28"/>
          <w:lang w:val="en-US" w:eastAsia="zh-CN"/>
        </w:rPr>
        <w:t>宁武县恢河干流生态植被建设项目</w:t>
      </w:r>
      <w:r>
        <w:rPr>
          <w:rFonts w:hint="eastAsia" w:ascii="仿宋_GB2312" w:hAnsi="仿宋_GB2312" w:cs="仿宋_GB2312"/>
          <w:sz w:val="28"/>
          <w:szCs w:val="28"/>
          <w:lang w:val="en-US" w:eastAsia="zh-CN"/>
        </w:rPr>
        <w:t>初步设计报告》及其批复文件，本项目主要建设内容如下：</w:t>
      </w:r>
      <w:r>
        <w:rPr>
          <w:rFonts w:hint="eastAsia" w:cs="仿宋_GB2312"/>
          <w:sz w:val="28"/>
          <w:szCs w:val="28"/>
          <w:lang w:val="en-US" w:eastAsia="zh-CN"/>
        </w:rPr>
        <w:t>项目建设</w:t>
      </w:r>
      <w:r>
        <w:rPr>
          <w:rFonts w:hint="eastAsia" w:ascii="仿宋_GB2312" w:hAnsi="仿宋_GB2312" w:cs="仿宋_GB2312"/>
          <w:sz w:val="28"/>
          <w:szCs w:val="28"/>
          <w:lang w:val="en-US" w:eastAsia="zh-CN"/>
        </w:rPr>
        <w:t>涉及暖水湾村</w:t>
      </w:r>
      <w:r>
        <w:rPr>
          <w:rFonts w:hint="eastAsia" w:cs="仿宋_GB2312"/>
          <w:sz w:val="28"/>
          <w:szCs w:val="28"/>
          <w:lang w:val="en-US" w:eastAsia="zh-CN"/>
        </w:rPr>
        <w:t>、</w:t>
      </w:r>
      <w:r>
        <w:rPr>
          <w:rFonts w:hint="eastAsia" w:ascii="仿宋_GB2312" w:hAnsi="仿宋_GB2312" w:cs="仿宋_GB2312"/>
          <w:sz w:val="28"/>
          <w:szCs w:val="28"/>
          <w:lang w:val="en-US" w:eastAsia="zh-CN"/>
        </w:rPr>
        <w:t>阳方村</w:t>
      </w:r>
      <w:r>
        <w:rPr>
          <w:rFonts w:hint="eastAsia" w:cs="仿宋_GB2312"/>
          <w:sz w:val="28"/>
          <w:szCs w:val="28"/>
          <w:lang w:val="en-US" w:eastAsia="zh-CN"/>
        </w:rPr>
        <w:t>、</w:t>
      </w:r>
      <w:r>
        <w:rPr>
          <w:rFonts w:hint="eastAsia" w:ascii="仿宋_GB2312" w:hAnsi="仿宋_GB2312" w:cs="仿宋_GB2312"/>
          <w:sz w:val="28"/>
          <w:szCs w:val="28"/>
          <w:lang w:val="en-US" w:eastAsia="zh-CN"/>
        </w:rPr>
        <w:t>马家湾村</w:t>
      </w:r>
      <w:r>
        <w:rPr>
          <w:rFonts w:hint="eastAsia" w:cs="仿宋_GB2312"/>
          <w:sz w:val="28"/>
          <w:szCs w:val="28"/>
          <w:lang w:val="en-US" w:eastAsia="zh-CN"/>
        </w:rPr>
        <w:t>、</w:t>
      </w:r>
      <w:r>
        <w:rPr>
          <w:rFonts w:hint="eastAsia" w:ascii="仿宋_GB2312" w:hAnsi="仿宋_GB2312" w:cs="仿宋_GB2312"/>
          <w:sz w:val="28"/>
          <w:szCs w:val="28"/>
          <w:lang w:val="en-US" w:eastAsia="zh-CN"/>
        </w:rPr>
        <w:t>大河堡村</w:t>
      </w:r>
      <w:r>
        <w:rPr>
          <w:rFonts w:hint="eastAsia" w:cs="仿宋_GB2312"/>
          <w:sz w:val="28"/>
          <w:szCs w:val="28"/>
          <w:lang w:val="en-US" w:eastAsia="zh-CN"/>
        </w:rPr>
        <w:t>、</w:t>
      </w:r>
      <w:r>
        <w:rPr>
          <w:rFonts w:hint="eastAsia" w:ascii="仿宋_GB2312" w:hAnsi="仿宋_GB2312" w:cs="仿宋_GB2312"/>
          <w:sz w:val="28"/>
          <w:szCs w:val="28"/>
          <w:lang w:val="en-US" w:eastAsia="zh-CN"/>
        </w:rPr>
        <w:t>西关村</w:t>
      </w:r>
      <w:r>
        <w:rPr>
          <w:rFonts w:hint="eastAsia" w:cs="仿宋_GB2312"/>
          <w:sz w:val="28"/>
          <w:szCs w:val="28"/>
          <w:lang w:val="en-US" w:eastAsia="zh-CN"/>
        </w:rPr>
        <w:t>、</w:t>
      </w:r>
      <w:r>
        <w:rPr>
          <w:rFonts w:hint="eastAsia" w:ascii="仿宋_GB2312" w:hAnsi="仿宋_GB2312" w:cs="仿宋_GB2312"/>
          <w:sz w:val="28"/>
          <w:szCs w:val="28"/>
          <w:lang w:val="en-US" w:eastAsia="zh-CN"/>
        </w:rPr>
        <w:t>刘家园村</w:t>
      </w:r>
      <w:r>
        <w:rPr>
          <w:rFonts w:hint="eastAsia" w:cs="仿宋_GB2312"/>
          <w:sz w:val="28"/>
          <w:szCs w:val="28"/>
          <w:lang w:val="en-US" w:eastAsia="zh-CN"/>
        </w:rPr>
        <w:t>、</w:t>
      </w:r>
      <w:r>
        <w:rPr>
          <w:rFonts w:hint="eastAsia" w:ascii="仿宋_GB2312" w:hAnsi="仿宋_GB2312" w:cs="仿宋_GB2312"/>
          <w:sz w:val="28"/>
          <w:szCs w:val="28"/>
          <w:lang w:val="en-US" w:eastAsia="zh-CN"/>
        </w:rPr>
        <w:t>杨庄村</w:t>
      </w:r>
      <w:r>
        <w:rPr>
          <w:rFonts w:hint="eastAsia" w:cs="仿宋_GB2312"/>
          <w:sz w:val="28"/>
          <w:szCs w:val="28"/>
          <w:lang w:val="en-US" w:eastAsia="zh-CN"/>
        </w:rPr>
        <w:t>、</w:t>
      </w:r>
      <w:r>
        <w:rPr>
          <w:rFonts w:hint="eastAsia" w:ascii="仿宋_GB2312" w:hAnsi="仿宋_GB2312" w:cs="仿宋_GB2312"/>
          <w:sz w:val="28"/>
          <w:szCs w:val="28"/>
          <w:lang w:val="en-US" w:eastAsia="zh-CN"/>
        </w:rPr>
        <w:t>坝上村八个村落。结合恢河干流沿线护堤林现状及河道两岸实际情况，建设</w:t>
      </w:r>
      <w:r>
        <w:rPr>
          <w:rFonts w:hint="eastAsia" w:cs="仿宋_GB2312"/>
          <w:sz w:val="28"/>
          <w:szCs w:val="28"/>
          <w:lang w:val="en-US" w:eastAsia="zh-CN"/>
        </w:rPr>
        <w:t>长</w:t>
      </w:r>
      <w:r>
        <w:rPr>
          <w:rFonts w:hint="eastAsia" w:ascii="仿宋_GB2312" w:hAnsi="仿宋_GB2312" w:cs="仿宋_GB2312"/>
          <w:sz w:val="28"/>
          <w:szCs w:val="28"/>
          <w:lang w:val="en-US" w:eastAsia="zh-CN"/>
        </w:rPr>
        <w:t>约13km，宽20m，面积约27.5公顷的护堤林</w:t>
      </w:r>
      <w:r>
        <w:rPr>
          <w:rFonts w:hint="eastAsia" w:cs="仿宋_GB2312"/>
          <w:sz w:val="28"/>
          <w:szCs w:val="28"/>
          <w:lang w:val="en-US" w:eastAsia="zh-CN"/>
        </w:rPr>
        <w:t>。绿化带范围以防护林为主，主要以不同的乔木以纯林形式交替种植，关键节点采用自然式景观林种植，选取当地优势乡土种树且具有一定观赏功能的乔木为主（两种以上），形成复合混交群落，旨在打造一条天然绿色防护屏障林、水相伴相依，滨水林带覆盖的绿色森林通道</w:t>
      </w:r>
      <w:r>
        <w:rPr>
          <w:rFonts w:hint="eastAsia" w:ascii="仿宋_GB2312" w:hAnsi="仿宋_GB2312" w:cs="仿宋_GB2312"/>
          <w:sz w:val="28"/>
          <w:szCs w:val="28"/>
          <w:lang w:val="en-US" w:eastAsia="zh-CN"/>
        </w:rPr>
        <w:t>。</w:t>
      </w:r>
    </w:p>
    <w:p>
      <w:pPr>
        <w:keepNext w:val="0"/>
        <w:keepLines w:val="0"/>
        <w:widowControl/>
        <w:suppressLineNumbers w:val="0"/>
        <w:jc w:val="left"/>
        <w:rPr>
          <w:rFonts w:hint="eastAsia" w:ascii="仿宋_GB2312" w:hAnsi="仿宋_GB2312" w:cs="仿宋_GB2312"/>
          <w:sz w:val="28"/>
          <w:szCs w:val="28"/>
          <w:lang w:val="en-US" w:eastAsia="zh-CN"/>
        </w:rPr>
      </w:pPr>
      <w:r>
        <w:rPr>
          <w:rFonts w:hint="eastAsia" w:cs="仿宋_GB2312"/>
          <w:sz w:val="28"/>
          <w:szCs w:val="28"/>
          <w:lang w:val="en-US" w:eastAsia="zh-CN"/>
        </w:rPr>
        <w:t>项目总体布置：立</w:t>
      </w:r>
      <w:r>
        <w:rPr>
          <w:rFonts w:hint="eastAsia" w:ascii="仿宋_GB2312" w:hAnsi="仿宋_GB2312" w:eastAsia="仿宋_GB2312" w:cs="仿宋_GB2312"/>
          <w:kern w:val="2"/>
          <w:sz w:val="28"/>
          <w:szCs w:val="28"/>
          <w:lang w:val="en-US" w:eastAsia="zh-CN" w:bidi="zh-CN"/>
        </w:rPr>
        <w:t>于适地适树的原则上进行植物选择，以提高植物成活率，冀望适生品种在较短时间内使遭到破坏的生态系统逐步恢复或使生态系统向良性循环方向发展</w:t>
      </w:r>
      <w:r>
        <w:rPr>
          <w:rFonts w:hint="eastAsia" w:ascii="仿宋_GB2312" w:hAnsi="仿宋_GB2312" w:cs="仿宋_GB2312"/>
          <w:kern w:val="2"/>
          <w:sz w:val="28"/>
          <w:szCs w:val="28"/>
          <w:lang w:val="en-US" w:eastAsia="zh-CN" w:bidi="zh-CN"/>
        </w:rPr>
        <w:t>。</w:t>
      </w:r>
      <w:r>
        <w:rPr>
          <w:rFonts w:hint="eastAsia" w:ascii="仿宋_GB2312" w:hAnsi="仿宋_GB2312" w:cs="仿宋_GB2312"/>
          <w:sz w:val="28"/>
          <w:szCs w:val="28"/>
          <w:lang w:val="en-US" w:eastAsia="zh-CN"/>
        </w:rPr>
        <w:t>对缺少护堤林带的部分补充乔灌草种植</w:t>
      </w:r>
      <w:r>
        <w:rPr>
          <w:rFonts w:hint="eastAsia" w:cs="仿宋_GB2312"/>
          <w:sz w:val="28"/>
          <w:szCs w:val="28"/>
          <w:lang w:val="en-US" w:eastAsia="zh-CN"/>
        </w:rPr>
        <w:t>，</w:t>
      </w:r>
      <w:r>
        <w:rPr>
          <w:rFonts w:hint="eastAsia" w:ascii="仿宋_GB2312" w:hAnsi="仿宋_GB2312" w:cs="仿宋_GB2312"/>
          <w:sz w:val="28"/>
          <w:szCs w:val="28"/>
          <w:lang w:val="en-US" w:eastAsia="zh-CN"/>
        </w:rPr>
        <w:t>多选用常绿植物进行设计如樟子松，油松等</w:t>
      </w:r>
      <w:r>
        <w:rPr>
          <w:rFonts w:hint="eastAsia" w:cs="仿宋_GB2312"/>
          <w:sz w:val="28"/>
          <w:szCs w:val="28"/>
          <w:lang w:val="en-US" w:eastAsia="zh-CN"/>
        </w:rPr>
        <w:t>；</w:t>
      </w:r>
      <w:r>
        <w:rPr>
          <w:rFonts w:hint="eastAsia" w:ascii="仿宋_GB2312" w:hAnsi="仿宋_GB2312" w:cs="仿宋_GB2312"/>
          <w:sz w:val="28"/>
          <w:szCs w:val="28"/>
          <w:lang w:val="en-US" w:eastAsia="zh-CN"/>
        </w:rPr>
        <w:t>补充波斯菊等开花地被，将裸露地表全面覆盖</w:t>
      </w:r>
      <w:r>
        <w:rPr>
          <w:rFonts w:hint="eastAsia" w:cs="仿宋_GB2312"/>
          <w:sz w:val="28"/>
          <w:szCs w:val="28"/>
          <w:lang w:val="en-US" w:eastAsia="zh-CN"/>
        </w:rPr>
        <w:t>。</w:t>
      </w:r>
      <w:r>
        <w:rPr>
          <w:rFonts w:hint="eastAsia" w:ascii="仿宋_GB2312" w:hAnsi="仿宋_GB2312" w:cs="仿宋_GB2312"/>
          <w:sz w:val="28"/>
          <w:szCs w:val="28"/>
          <w:lang w:val="en-US" w:eastAsia="zh-CN"/>
        </w:rPr>
        <w:t>针对山脚土壤裸露现象，主要采取纯林</w:t>
      </w:r>
      <w:r>
        <w:rPr>
          <w:rFonts w:hint="eastAsia" w:cs="仿宋_GB2312"/>
          <w:sz w:val="28"/>
          <w:szCs w:val="28"/>
          <w:lang w:val="en-US" w:eastAsia="zh-CN"/>
        </w:rPr>
        <w:t>、</w:t>
      </w:r>
      <w:r>
        <w:rPr>
          <w:rFonts w:hint="eastAsia" w:ascii="仿宋_GB2312" w:hAnsi="仿宋_GB2312" w:cs="仿宋_GB2312"/>
          <w:sz w:val="28"/>
          <w:szCs w:val="28"/>
          <w:lang w:val="en-US" w:eastAsia="zh-CN"/>
        </w:rPr>
        <w:t>乔灌草结合混交等模式进行生态修复</w:t>
      </w:r>
      <w:r>
        <w:rPr>
          <w:rFonts w:hint="eastAsia" w:cs="仿宋_GB2312"/>
          <w:sz w:val="28"/>
          <w:szCs w:val="28"/>
          <w:lang w:val="en-US" w:eastAsia="zh-CN"/>
        </w:rPr>
        <w:t>，</w:t>
      </w:r>
      <w:r>
        <w:rPr>
          <w:rFonts w:hint="eastAsia" w:ascii="仿宋_GB2312" w:hAnsi="仿宋_GB2312" w:cs="仿宋_GB2312"/>
          <w:sz w:val="28"/>
          <w:szCs w:val="28"/>
          <w:lang w:val="en-US" w:eastAsia="zh-CN"/>
        </w:rPr>
        <w:t>利用生态系统自我恢复能力，辅以人工措施，使遭到破坏的生态系统逐步恢复或使生态系统向良性循环方向发展</w:t>
      </w:r>
      <w:r>
        <w:rPr>
          <w:rFonts w:hint="eastAsia" w:cs="仿宋_GB2312"/>
          <w:sz w:val="28"/>
          <w:szCs w:val="28"/>
          <w:lang w:val="en-US" w:eastAsia="zh-CN"/>
        </w:rPr>
        <w:t>，</w:t>
      </w:r>
      <w:r>
        <w:rPr>
          <w:rFonts w:hint="eastAsia" w:ascii="仿宋_GB2312" w:hAnsi="仿宋_GB2312" w:cs="仿宋_GB2312"/>
          <w:sz w:val="28"/>
          <w:szCs w:val="28"/>
          <w:lang w:val="en-US" w:eastAsia="zh-CN"/>
        </w:rPr>
        <w:t>选择山杏</w:t>
      </w:r>
      <w:r>
        <w:rPr>
          <w:rFonts w:hint="eastAsia" w:cs="仿宋_GB2312"/>
          <w:sz w:val="28"/>
          <w:szCs w:val="28"/>
          <w:lang w:val="en-US" w:eastAsia="zh-CN"/>
        </w:rPr>
        <w:t>等</w:t>
      </w:r>
      <w:r>
        <w:rPr>
          <w:rFonts w:hint="eastAsia" w:ascii="仿宋_GB2312" w:hAnsi="仿宋_GB2312" w:cs="仿宋_GB2312"/>
          <w:sz w:val="28"/>
          <w:szCs w:val="28"/>
          <w:lang w:val="en-US" w:eastAsia="zh-CN"/>
        </w:rPr>
        <w:t>营造滨河花灌林带，选择馒头柳，新疆杨等生命力较强，耐贫瘠的乔木进行植被种植。针对生境破坏严重的河段，模拟自然生态，进行灌草栽植恢复植被，重塑河道生态系统，使河道恢复近自然状态。选择拂子茅等耐水湿植被进行植被建设。</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cs="仿宋_GB2312"/>
          <w:b w:val="0"/>
          <w:bCs w:val="0"/>
          <w:sz w:val="28"/>
          <w:szCs w:val="28"/>
          <w:lang w:val="en-US" w:eastAsia="zh-CN"/>
        </w:rPr>
      </w:pPr>
      <w:r>
        <w:rPr>
          <w:rFonts w:hint="eastAsia" w:cs="仿宋_GB2312"/>
          <w:b w:val="0"/>
          <w:bCs w:val="0"/>
          <w:sz w:val="28"/>
          <w:szCs w:val="28"/>
          <w:lang w:val="en-US" w:eastAsia="zh-CN"/>
        </w:rPr>
        <w:t>（2）项目实施情况</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lang w:val="en-US" w:eastAsia="zh-CN"/>
        </w:rPr>
        <w:t>由于上级领导部门要求</w:t>
      </w:r>
      <w:r>
        <w:rPr>
          <w:rFonts w:hint="eastAsia" w:cs="仿宋_GB2312"/>
          <w:sz w:val="28"/>
          <w:szCs w:val="28"/>
          <w:lang w:val="en-US" w:eastAsia="zh-CN"/>
        </w:rPr>
        <w:t>水利水保局</w:t>
      </w:r>
      <w:r>
        <w:rPr>
          <w:rFonts w:hint="eastAsia" w:ascii="仿宋_GB2312" w:hAnsi="仿宋_GB2312" w:eastAsia="仿宋_GB2312" w:cs="仿宋_GB2312"/>
          <w:sz w:val="28"/>
          <w:szCs w:val="28"/>
          <w:lang w:val="en-US" w:eastAsia="zh-CN"/>
        </w:rPr>
        <w:t>尽快开展山水林田湖草项目建设工作，因此</w:t>
      </w:r>
      <w:r>
        <w:rPr>
          <w:rFonts w:hint="eastAsia" w:cs="仿宋_GB2312"/>
          <w:sz w:val="28"/>
          <w:szCs w:val="28"/>
          <w:lang w:val="en-US" w:eastAsia="zh-CN"/>
        </w:rPr>
        <w:t>水利水保局</w:t>
      </w:r>
      <w:r>
        <w:rPr>
          <w:rFonts w:hint="eastAsia" w:ascii="仿宋_GB2312" w:hAnsi="仿宋_GB2312" w:eastAsia="仿宋_GB2312" w:cs="仿宋_GB2312"/>
          <w:sz w:val="28"/>
          <w:szCs w:val="28"/>
          <w:lang w:val="en-US" w:eastAsia="zh-CN"/>
        </w:rPr>
        <w:t>在项目可行性研究报告通过批复后立马组织施工，由于首次开工于2020年9月底，项目在短暂施工后进入霜冻期，不利于</w:t>
      </w:r>
      <w:r>
        <w:rPr>
          <w:rFonts w:hint="eastAsia" w:cs="仿宋_GB2312"/>
          <w:sz w:val="28"/>
          <w:szCs w:val="28"/>
          <w:lang w:val="en-US" w:eastAsia="zh-CN"/>
        </w:rPr>
        <w:t>施工</w:t>
      </w:r>
      <w:r>
        <w:rPr>
          <w:rFonts w:hint="eastAsia" w:ascii="仿宋_GB2312" w:hAnsi="仿宋_GB2312" w:eastAsia="仿宋_GB2312" w:cs="仿宋_GB2312"/>
          <w:sz w:val="28"/>
          <w:szCs w:val="28"/>
          <w:lang w:val="en-US" w:eastAsia="zh-CN"/>
        </w:rPr>
        <w:t>，且项</w:t>
      </w:r>
      <w:r>
        <w:rPr>
          <w:rFonts w:hint="eastAsia" w:ascii="仿宋_GB2312" w:hAnsi="仿宋_GB2312" w:eastAsia="仿宋_GB2312" w:cs="仿宋_GB2312"/>
          <w:lang w:val="en-US" w:eastAsia="zh-CN"/>
        </w:rPr>
        <w:t>目初步设计批复于2021年完成，因此，本次绩效评价对两次施工时段的完工工程量均进行梳理汇总，具体项目各时段实际建设进度如下：</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cs="仿宋_GB2312"/>
          <w:sz w:val="28"/>
          <w:szCs w:val="28"/>
          <w:lang w:val="en-US" w:eastAsia="zh-CN"/>
        </w:rPr>
      </w:pPr>
      <w:r>
        <w:rPr>
          <w:rFonts w:hint="eastAsia" w:ascii="仿宋_GB2312" w:hAnsi="仿宋_GB2312" w:eastAsia="仿宋_GB2312" w:cs="仿宋_GB2312"/>
          <w:sz w:val="28"/>
          <w:szCs w:val="28"/>
          <w:lang w:val="en-US" w:eastAsia="zh-CN"/>
        </w:rPr>
        <w:t>截止2020年12月31日，项目实际完工量为：馒头柳1028株，樟子</w:t>
      </w:r>
      <w:r>
        <w:rPr>
          <w:rFonts w:hint="eastAsia" w:cs="仿宋_GB2312"/>
          <w:sz w:val="28"/>
          <w:szCs w:val="28"/>
          <w:lang w:val="en-US" w:eastAsia="zh-CN"/>
        </w:rPr>
        <w:t>松1294株，金枝槐477株，新疆杨713株，北京栾436株，金叶白蜡222株，云杉50株，山杏332株，丛生榆叶梅775株，整理绿化用地62190.48㎡。</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cs="仿宋_GB2312"/>
          <w:sz w:val="28"/>
          <w:szCs w:val="28"/>
          <w:lang w:val="en-US" w:eastAsia="zh-CN"/>
        </w:rPr>
      </w:pPr>
      <w:r>
        <w:rPr>
          <w:rFonts w:hint="eastAsia" w:cs="仿宋_GB2312"/>
          <w:sz w:val="28"/>
          <w:szCs w:val="28"/>
          <w:lang w:val="en-US" w:eastAsia="zh-CN"/>
        </w:rPr>
        <w:t>按照已完工建设成本与预算投资成本对比核算项目进度的方法，截止2020年12月31日，项目已完工工程量投资额约357万元，占工程总预算投资成本2919.91万元的12.23%。</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截止2021年7月，项目实际完工量为：栽种馒头柳274株，油松A242株，油松B3452株，云杉A22株，樟子松2922株，黄金槐2212株，新疆杨782株，山杨1709株，北京栾A37株，北京栾B547株，金叶白蜡A75株，金叶白蜡B149株，云杉B2300株，山杏A6株，山杏B288株，丛生榆叶梅A50株，丛生榆叶梅B1411株，北美海棠A153株，北美海棠B104株、紫丁香181株，紫叶矮樱174株，连翘1089.9㎡，黄刺玫20069.77㎡，红王子锦带685.62㎡，缀花草坪138132.86㎡，波斯菊20258.9㎡，黑心菊1309.02㎡，红蓼8450.45㎡，水葱2002.27㎡，千屈菜34971.09㎡，拂子茅12044.91㎡，整理绿化用地239014.79㎡。土方开挖55000m³，土方回填60000m³。</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按照已完工建设成本与预算投资成本对比核算项目进度的方法，截止2021年7月，项目已完工工程量投资额约2316.12万元，占工程总预算投资成本2919.91万元的79.32%。</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default" w:ascii="楷体_GB2312" w:hAnsi="楷体_GB2312" w:eastAsia="楷体_GB2312" w:cs="楷体_GB2312"/>
          <w:b w:val="0"/>
          <w:bCs w:val="0"/>
          <w:sz w:val="28"/>
          <w:szCs w:val="28"/>
          <w:lang w:val="en-US" w:eastAsia="zh-CN"/>
        </w:rPr>
      </w:pPr>
      <w:bookmarkStart w:id="19" w:name="_Toc22428"/>
      <w:bookmarkStart w:id="20" w:name="_Toc8909"/>
      <w:r>
        <w:rPr>
          <w:rFonts w:hint="eastAsia" w:ascii="楷体_GB2312" w:hAnsi="楷体_GB2312" w:eastAsia="楷体_GB2312" w:cs="楷体_GB2312"/>
          <w:b w:val="0"/>
          <w:bCs w:val="0"/>
          <w:sz w:val="28"/>
          <w:szCs w:val="28"/>
          <w:lang w:val="en-US" w:eastAsia="zh-CN"/>
        </w:rPr>
        <w:t>（二）项目资金</w:t>
      </w:r>
      <w:bookmarkEnd w:id="19"/>
      <w:r>
        <w:rPr>
          <w:rFonts w:hint="eastAsia" w:ascii="楷体_GB2312" w:hAnsi="楷体_GB2312" w:eastAsia="楷体_GB2312" w:cs="楷体_GB2312"/>
          <w:b w:val="0"/>
          <w:bCs w:val="0"/>
          <w:sz w:val="28"/>
          <w:szCs w:val="28"/>
          <w:lang w:val="en-US" w:eastAsia="zh-CN"/>
        </w:rPr>
        <w:t>投入及使用情况</w:t>
      </w:r>
      <w:bookmarkEnd w:id="20"/>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outlineLvl w:val="2"/>
        <w:rPr>
          <w:rFonts w:hint="default" w:cs="仿宋_GB2312"/>
          <w:b/>
          <w:bCs/>
          <w:sz w:val="28"/>
          <w:szCs w:val="28"/>
          <w:lang w:val="en-US" w:eastAsia="zh-CN"/>
        </w:rPr>
      </w:pPr>
      <w:r>
        <w:rPr>
          <w:rFonts w:hint="eastAsia" w:cs="仿宋_GB2312"/>
          <w:b/>
          <w:bCs/>
          <w:sz w:val="28"/>
          <w:szCs w:val="28"/>
          <w:lang w:val="en-US" w:eastAsia="zh-CN"/>
        </w:rPr>
        <w:t>1.项目资金投入情况</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cs="仿宋_GB2312"/>
          <w:b w:val="0"/>
          <w:bCs w:val="0"/>
          <w:sz w:val="28"/>
          <w:szCs w:val="28"/>
          <w:lang w:val="en-US" w:eastAsia="zh-CN"/>
        </w:rPr>
      </w:pPr>
      <w:r>
        <w:rPr>
          <w:rFonts w:hint="eastAsia" w:cs="仿宋_GB2312"/>
          <w:b w:val="0"/>
          <w:bCs w:val="0"/>
          <w:sz w:val="28"/>
          <w:szCs w:val="28"/>
          <w:lang w:val="en-US" w:eastAsia="zh-CN"/>
        </w:rPr>
        <w:t>根据《宁武县行政审批服务管理局关于宁武县恢河干流生态植被建设项目初步设计的批复》（宁审管许可〔2021〕16号）文件，本项目批复初步设计预算总投资核定为3349.09万元。2020年10月，根据《忻州市财政局关于下达2020年第四批政府债券资金及支出预算》（忻财债〔2020〕30号）的通知，下达宁武县第四批政府债券资金19000万元用于山水林田湖草项目，其中水利水保局恢河干流生态植被建设工程项目915.22万元。</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outlineLvl w:val="2"/>
        <w:rPr>
          <w:rFonts w:hint="default" w:cs="仿宋_GB2312"/>
          <w:b/>
          <w:bCs/>
          <w:sz w:val="28"/>
          <w:szCs w:val="28"/>
          <w:lang w:val="en-US" w:eastAsia="zh-CN"/>
        </w:rPr>
      </w:pPr>
      <w:r>
        <w:rPr>
          <w:rFonts w:hint="eastAsia" w:cs="仿宋_GB2312"/>
          <w:b/>
          <w:bCs/>
          <w:sz w:val="28"/>
          <w:szCs w:val="28"/>
          <w:lang w:val="en-US" w:eastAsia="zh-CN"/>
        </w:rPr>
        <w:t>2.项目资金使用情况</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cs="仿宋_GB2312"/>
          <w:b w:val="0"/>
          <w:bCs w:val="0"/>
          <w:sz w:val="28"/>
          <w:szCs w:val="28"/>
          <w:lang w:val="en-US" w:eastAsia="zh-CN"/>
        </w:rPr>
      </w:pPr>
      <w:r>
        <w:rPr>
          <w:rFonts w:hint="eastAsia" w:cs="仿宋_GB2312"/>
          <w:b w:val="0"/>
          <w:bCs w:val="0"/>
          <w:sz w:val="28"/>
          <w:szCs w:val="28"/>
          <w:lang w:val="en-US" w:eastAsia="zh-CN"/>
        </w:rPr>
        <w:t>通过对项目财务资料的核查，2020年度水利水保局山水林田湖草项目到位资金915.22万元，实际支出915.22万元，预算执行率100%，具体资金支出情况见下表1-1：</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line="360" w:lineRule="auto"/>
        <w:ind w:leftChars="0"/>
        <w:jc w:val="center"/>
        <w:textAlignment w:val="auto"/>
        <w:rPr>
          <w:rFonts w:hint="default" w:cs="仿宋_GB2312"/>
          <w:b w:val="0"/>
          <w:bCs w:val="0"/>
          <w:sz w:val="28"/>
          <w:szCs w:val="28"/>
          <w:lang w:val="en-US" w:eastAsia="zh-CN"/>
        </w:rPr>
      </w:pPr>
      <w:r>
        <w:rPr>
          <w:rFonts w:hint="eastAsia" w:ascii="宋体" w:hAnsi="宋体" w:eastAsia="宋体" w:cs="宋体"/>
          <w:b w:val="0"/>
          <w:bCs w:val="0"/>
          <w:sz w:val="28"/>
          <w:szCs w:val="28"/>
          <w:lang w:val="en-US" w:eastAsia="zh-CN"/>
        </w:rPr>
        <w:t>表1-1 2020年项目资金支出明细</w:t>
      </w:r>
    </w:p>
    <w:tbl>
      <w:tblPr>
        <w:tblStyle w:val="15"/>
        <w:tblW w:w="8900"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57"/>
        <w:gridCol w:w="2787"/>
        <w:gridCol w:w="1725"/>
        <w:gridCol w:w="1552"/>
        <w:gridCol w:w="1879"/>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957"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w:t>
            </w:r>
          </w:p>
        </w:tc>
        <w:tc>
          <w:tcPr>
            <w:tcW w:w="2787"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收款单位</w:t>
            </w:r>
          </w:p>
        </w:tc>
        <w:tc>
          <w:tcPr>
            <w:tcW w:w="1725"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中标金额</w:t>
            </w:r>
          </w:p>
        </w:tc>
        <w:tc>
          <w:tcPr>
            <w:tcW w:w="1552"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支付金额</w:t>
            </w:r>
          </w:p>
        </w:tc>
        <w:tc>
          <w:tcPr>
            <w:tcW w:w="1879"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957" w:type="dxa"/>
            <w:vMerge w:val="restart"/>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lang w:val="en-US" w:eastAsia="zh-CN"/>
              </w:rPr>
              <w:t>恢河干流生态植被建设工程</w:t>
            </w:r>
          </w:p>
        </w:tc>
        <w:tc>
          <w:tcPr>
            <w:tcW w:w="2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太原市政建设集团有限公司</w:t>
            </w:r>
          </w:p>
        </w:tc>
        <w:tc>
          <w:tcPr>
            <w:tcW w:w="17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3481.37</w:t>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873.29</w:t>
            </w:r>
          </w:p>
        </w:tc>
        <w:tc>
          <w:tcPr>
            <w:tcW w:w="18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工程预付款</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957"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2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河南省景观规划设计研究院有限公司</w:t>
            </w:r>
          </w:p>
        </w:tc>
        <w:tc>
          <w:tcPr>
            <w:tcW w:w="17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54.75</w:t>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13.69</w:t>
            </w:r>
          </w:p>
        </w:tc>
        <w:tc>
          <w:tcPr>
            <w:tcW w:w="18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工程设计费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957"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2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河南省地矿建设工程（集团）有限公司</w:t>
            </w:r>
          </w:p>
        </w:tc>
        <w:tc>
          <w:tcPr>
            <w:tcW w:w="17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50.15</w:t>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12.54</w:t>
            </w:r>
          </w:p>
        </w:tc>
        <w:tc>
          <w:tcPr>
            <w:tcW w:w="18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工程勘测费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957"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2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山西宏强建设工程监理有限公司</w:t>
            </w:r>
          </w:p>
        </w:tc>
        <w:tc>
          <w:tcPr>
            <w:tcW w:w="17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62.80</w:t>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15.70</w:t>
            </w:r>
          </w:p>
        </w:tc>
        <w:tc>
          <w:tcPr>
            <w:tcW w:w="18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工程监理费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957"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val="0"/>
                <w:bCs w:val="0"/>
                <w:sz w:val="24"/>
                <w:szCs w:val="24"/>
                <w:vertAlign w:val="baseline"/>
                <w:lang w:val="en-US" w:eastAsia="zh-CN"/>
              </w:rPr>
            </w:pPr>
          </w:p>
        </w:tc>
        <w:tc>
          <w:tcPr>
            <w:tcW w:w="278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合计</w:t>
            </w:r>
          </w:p>
        </w:tc>
        <w:tc>
          <w:tcPr>
            <w:tcW w:w="17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fldChar w:fldCharType="begin"/>
            </w:r>
            <w:r>
              <w:rPr>
                <w:rFonts w:hint="eastAsia" w:ascii="宋体" w:hAnsi="宋体" w:eastAsia="宋体" w:cs="宋体"/>
                <w:b/>
                <w:bCs/>
                <w:i w:val="0"/>
                <w:color w:val="000000"/>
                <w:kern w:val="0"/>
                <w:sz w:val="24"/>
                <w:szCs w:val="24"/>
                <w:u w:val="none"/>
                <w:lang w:val="en-US" w:eastAsia="zh-CN" w:bidi="ar"/>
              </w:rPr>
              <w:instrText xml:space="preserve"> = sum(C16:C19) \* MERGEFORMAT </w:instrText>
            </w:r>
            <w:r>
              <w:rPr>
                <w:rFonts w:hint="eastAsia" w:ascii="宋体" w:hAnsi="宋体" w:eastAsia="宋体" w:cs="宋体"/>
                <w:b/>
                <w:bCs/>
                <w:i w:val="0"/>
                <w:color w:val="000000"/>
                <w:kern w:val="0"/>
                <w:sz w:val="24"/>
                <w:szCs w:val="24"/>
                <w:u w:val="none"/>
                <w:lang w:val="en-US" w:eastAsia="zh-CN" w:bidi="ar"/>
              </w:rPr>
              <w:fldChar w:fldCharType="separate"/>
            </w:r>
            <w:r>
              <w:rPr>
                <w:rFonts w:hint="eastAsia" w:ascii="宋体" w:hAnsi="宋体" w:eastAsia="宋体" w:cs="宋体"/>
                <w:b/>
                <w:bCs/>
                <w:i w:val="0"/>
                <w:color w:val="000000"/>
                <w:kern w:val="0"/>
                <w:sz w:val="24"/>
                <w:szCs w:val="24"/>
                <w:u w:val="none"/>
                <w:lang w:val="en-US" w:eastAsia="zh-CN" w:bidi="ar"/>
              </w:rPr>
              <w:t>3649.07</w:t>
            </w:r>
            <w:r>
              <w:rPr>
                <w:rFonts w:hint="eastAsia" w:ascii="宋体" w:hAnsi="宋体" w:eastAsia="宋体" w:cs="宋体"/>
                <w:b/>
                <w:bCs/>
                <w:i w:val="0"/>
                <w:color w:val="000000"/>
                <w:kern w:val="0"/>
                <w:sz w:val="24"/>
                <w:szCs w:val="24"/>
                <w:u w:val="none"/>
                <w:lang w:val="en-US" w:eastAsia="zh-CN" w:bidi="ar"/>
              </w:rPr>
              <w:fldChar w:fldCharType="end"/>
            </w:r>
          </w:p>
        </w:tc>
        <w:tc>
          <w:tcPr>
            <w:tcW w:w="155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fldChar w:fldCharType="begin"/>
            </w:r>
            <w:r>
              <w:rPr>
                <w:rFonts w:hint="eastAsia" w:ascii="宋体" w:hAnsi="宋体" w:eastAsia="宋体" w:cs="宋体"/>
                <w:b/>
                <w:bCs/>
                <w:i w:val="0"/>
                <w:color w:val="000000"/>
                <w:kern w:val="0"/>
                <w:sz w:val="24"/>
                <w:szCs w:val="24"/>
                <w:u w:val="none"/>
                <w:lang w:val="en-US" w:eastAsia="zh-CN" w:bidi="ar"/>
              </w:rPr>
              <w:instrText xml:space="preserve"> = sum(D16:D19) \* MERGEFORMAT </w:instrText>
            </w:r>
            <w:r>
              <w:rPr>
                <w:rFonts w:hint="eastAsia" w:ascii="宋体" w:hAnsi="宋体" w:eastAsia="宋体" w:cs="宋体"/>
                <w:b/>
                <w:bCs/>
                <w:i w:val="0"/>
                <w:color w:val="000000"/>
                <w:kern w:val="0"/>
                <w:sz w:val="24"/>
                <w:szCs w:val="24"/>
                <w:u w:val="none"/>
                <w:lang w:val="en-US" w:eastAsia="zh-CN" w:bidi="ar"/>
              </w:rPr>
              <w:fldChar w:fldCharType="separate"/>
            </w:r>
            <w:r>
              <w:rPr>
                <w:rFonts w:hint="eastAsia" w:ascii="宋体" w:hAnsi="宋体" w:eastAsia="宋体" w:cs="宋体"/>
                <w:b/>
                <w:bCs/>
                <w:i w:val="0"/>
                <w:color w:val="000000"/>
                <w:kern w:val="0"/>
                <w:sz w:val="24"/>
                <w:szCs w:val="24"/>
                <w:u w:val="none"/>
                <w:lang w:val="en-US" w:eastAsia="zh-CN" w:bidi="ar"/>
              </w:rPr>
              <w:t>915.22</w:t>
            </w:r>
            <w:r>
              <w:rPr>
                <w:rFonts w:hint="eastAsia" w:ascii="宋体" w:hAnsi="宋体" w:eastAsia="宋体" w:cs="宋体"/>
                <w:b/>
                <w:bCs/>
                <w:i w:val="0"/>
                <w:color w:val="000000"/>
                <w:kern w:val="0"/>
                <w:sz w:val="24"/>
                <w:szCs w:val="24"/>
                <w:u w:val="none"/>
                <w:lang w:val="en-US" w:eastAsia="zh-CN" w:bidi="ar"/>
              </w:rPr>
              <w:fldChar w:fldCharType="end"/>
            </w:r>
          </w:p>
        </w:tc>
        <w:tc>
          <w:tcPr>
            <w:tcW w:w="18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both"/>
              <w:textAlignment w:val="auto"/>
              <w:rPr>
                <w:rFonts w:hint="default"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w:t>
            </w:r>
          </w:p>
        </w:tc>
      </w:tr>
    </w:tbl>
    <w:p>
      <w:pPr>
        <w:pStyle w:val="5"/>
        <w:keepNext/>
        <w:keepLines/>
        <w:pageBreakBefore w:val="0"/>
        <w:widowControl w:val="0"/>
        <w:kinsoku/>
        <w:wordWrap/>
        <w:overflowPunct/>
        <w:topLinePunct w:val="0"/>
        <w:autoSpaceDE/>
        <w:autoSpaceDN/>
        <w:bidi w:val="0"/>
        <w:adjustRightInd/>
        <w:snapToGrid w:val="0"/>
        <w:spacing w:before="157" w:beforeLines="50"/>
        <w:textAlignment w:val="auto"/>
        <w:rPr>
          <w:rFonts w:hint="eastAsia"/>
          <w:lang w:val="en-US" w:eastAsia="zh-CN"/>
        </w:rPr>
      </w:pPr>
      <w:bookmarkStart w:id="21" w:name="_Toc9104"/>
      <w:bookmarkStart w:id="22" w:name="_Toc11240"/>
      <w:r>
        <w:rPr>
          <w:rFonts w:hint="eastAsia"/>
          <w:lang w:val="en-US" w:eastAsia="zh-CN"/>
        </w:rPr>
        <w:t>（三）绩效目标</w:t>
      </w:r>
      <w:bookmarkEnd w:id="21"/>
      <w:bookmarkEnd w:id="22"/>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2"/>
        <w:rPr>
          <w:rFonts w:hint="eastAsia" w:ascii="仿宋_GB2312" w:hAnsi="仿宋_GB2312" w:eastAsia="仿宋_GB2312" w:cs="仿宋_GB2312"/>
          <w:b w:val="0"/>
          <w:bCs w:val="0"/>
          <w:sz w:val="28"/>
          <w:szCs w:val="28"/>
          <w:lang w:val="en-US" w:eastAsia="zh-CN"/>
        </w:rPr>
      </w:pPr>
      <w:bookmarkStart w:id="23" w:name="_Toc18802"/>
      <w:r>
        <w:rPr>
          <w:rFonts w:hint="eastAsia" w:ascii="仿宋_GB2312" w:hAnsi="仿宋_GB2312" w:eastAsia="仿宋_GB2312" w:cs="仿宋_GB2312"/>
          <w:b w:val="0"/>
          <w:bCs w:val="0"/>
          <w:sz w:val="28"/>
          <w:szCs w:val="28"/>
          <w:lang w:val="en-US" w:eastAsia="zh-CN"/>
        </w:rPr>
        <w:t>1.项目总体目标</w:t>
      </w:r>
      <w:bookmarkEnd w:id="23"/>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cs="仿宋_GB2312"/>
          <w:b w:val="0"/>
          <w:bCs w:val="0"/>
          <w:sz w:val="28"/>
          <w:szCs w:val="28"/>
          <w:lang w:val="en-US" w:eastAsia="zh-CN"/>
        </w:rPr>
      </w:pPr>
      <w:r>
        <w:rPr>
          <w:rFonts w:hint="eastAsia" w:cs="仿宋_GB2312"/>
          <w:b w:val="0"/>
          <w:bCs w:val="0"/>
          <w:sz w:val="28"/>
          <w:szCs w:val="28"/>
          <w:lang w:val="en-US" w:eastAsia="zh-CN"/>
        </w:rPr>
        <w:t>宁武县为恢河源头，是下游地区的生态贡献区，又是生态脆弱区，老百姓生活上喝不上水、生产上用不上水、景观上看不上水、生态上受不了益。通过开展恢河干流河道整治、治沙清水、拦河蓄水工作，打造水域景观并保证行洪安全；通过恢河河道治理、湿地建设及生态防护林（水土保持林）建设，促进治理段附近生态恢复，美化环境，形成区域“小气候”，呈现人水和谐新景象；通造林绿化、湿地建设能涵养水源、保持水土、净化水质，营造生态宜居，自然和谐的居家之地。通过项目建设促进生态环境持续改善，促进宁武转型发展、可持续发展；重现恢河河流水量丰沛起来、水质好起来、风光美起来的生态景观。</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2"/>
        <w:rPr>
          <w:rFonts w:hint="eastAsia" w:ascii="仿宋_GB2312" w:hAnsi="仿宋_GB2312" w:eastAsia="仿宋_GB2312" w:cs="仿宋_GB2312"/>
          <w:b w:val="0"/>
          <w:bCs w:val="0"/>
          <w:sz w:val="28"/>
          <w:szCs w:val="28"/>
          <w:lang w:val="en-US" w:eastAsia="zh-CN"/>
        </w:rPr>
      </w:pPr>
      <w:bookmarkStart w:id="24" w:name="_Toc28832"/>
      <w:r>
        <w:rPr>
          <w:rFonts w:hint="eastAsia" w:ascii="仿宋_GB2312" w:hAnsi="仿宋_GB2312" w:eastAsia="仿宋_GB2312" w:cs="仿宋_GB2312"/>
          <w:b w:val="0"/>
          <w:bCs w:val="0"/>
          <w:sz w:val="28"/>
          <w:szCs w:val="28"/>
          <w:lang w:val="en-US" w:eastAsia="zh-CN"/>
        </w:rPr>
        <w:t>2.项目具体目标</w:t>
      </w:r>
      <w:bookmarkEnd w:id="24"/>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（1）产出目标</w:t>
      </w:r>
      <w:r>
        <w:rPr>
          <w:rFonts w:hint="eastAsia" w:cs="仿宋_GB2312"/>
          <w:kern w:val="2"/>
          <w:sz w:val="28"/>
          <w:szCs w:val="28"/>
          <w:lang w:val="en-US" w:eastAsia="zh-CN" w:bidi="ar-SA"/>
        </w:rPr>
        <w:t>：结合恢河干流沿线堤防林现状及河道两岸实际情况，</w:t>
      </w:r>
      <w:r>
        <w:rPr>
          <w:rFonts w:hint="eastAsia" w:cs="仿宋_GB2312"/>
          <w:kern w:val="2"/>
          <w:sz w:val="28"/>
          <w:szCs w:val="28"/>
          <w:highlight w:val="none"/>
          <w:lang w:val="en-US" w:eastAsia="zh-CN" w:bidi="ar-SA"/>
        </w:rPr>
        <w:t>建设</w:t>
      </w:r>
      <w:r>
        <w:rPr>
          <w:rFonts w:hint="eastAsia" w:cs="仿宋_GB2312"/>
          <w:sz w:val="28"/>
          <w:szCs w:val="28"/>
          <w:highlight w:val="none"/>
          <w:lang w:val="en-US" w:eastAsia="zh-CN"/>
        </w:rPr>
        <w:t>长</w:t>
      </w:r>
      <w:r>
        <w:rPr>
          <w:rFonts w:hint="eastAsia" w:ascii="仿宋_GB2312" w:hAnsi="仿宋_GB2312" w:cs="仿宋_GB2312"/>
          <w:sz w:val="28"/>
          <w:szCs w:val="28"/>
          <w:highlight w:val="none"/>
          <w:lang w:val="en-US" w:eastAsia="zh-CN"/>
        </w:rPr>
        <w:t>约13km</w:t>
      </w:r>
      <w:r>
        <w:rPr>
          <w:rFonts w:hint="eastAsia" w:ascii="仿宋_GB2312" w:hAnsi="仿宋_GB2312" w:cs="仿宋_GB2312"/>
          <w:sz w:val="28"/>
          <w:szCs w:val="28"/>
          <w:lang w:val="en-US" w:eastAsia="zh-CN"/>
        </w:rPr>
        <w:t>，宽20m，</w:t>
      </w:r>
      <w:r>
        <w:rPr>
          <w:rFonts w:hint="eastAsia" w:cs="仿宋_GB2312"/>
          <w:kern w:val="2"/>
          <w:sz w:val="28"/>
          <w:szCs w:val="28"/>
          <w:lang w:val="en-US" w:eastAsia="zh-CN" w:bidi="ar-SA"/>
        </w:rPr>
        <w:t>面积约27.5hm²的护堤林工程，恢复植被，恢复生境。</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（2）生态效益</w:t>
      </w:r>
      <w:r>
        <w:rPr>
          <w:rFonts w:hint="eastAsia" w:cs="仿宋_GB2312"/>
          <w:kern w:val="2"/>
          <w:sz w:val="28"/>
          <w:szCs w:val="28"/>
          <w:lang w:val="en-US" w:eastAsia="zh-CN" w:bidi="ar-SA"/>
        </w:rPr>
        <w:t>：通过项目建设，提高林草覆盖面积27.5hm²，提高水涵养面积27.5hm²，减少水土流失面积。提升生态系统自我修复能力，增强生态系统稳定性。</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（3）社会效益</w:t>
      </w:r>
      <w:r>
        <w:rPr>
          <w:rFonts w:hint="eastAsia" w:cs="仿宋_GB2312"/>
          <w:kern w:val="2"/>
          <w:sz w:val="28"/>
          <w:szCs w:val="28"/>
          <w:lang w:val="en-US" w:eastAsia="zh-CN" w:bidi="ar-SA"/>
        </w:rPr>
        <w:t>：通过项目建设，使项目建设区域内约30000人口受益，改善人居环境，提高生活质量，</w:t>
      </w:r>
      <w:r>
        <w:rPr>
          <w:rFonts w:hint="eastAsia" w:ascii="仿宋_GB2312" w:hAnsi="仿宋_GB2312" w:eastAsia="仿宋_GB2312" w:cs="仿宋_GB2312"/>
          <w:kern w:val="2"/>
          <w:sz w:val="28"/>
          <w:szCs w:val="28"/>
          <w:lang w:val="en-US" w:eastAsia="zh-CN" w:bidi="ar-SA"/>
        </w:rPr>
        <w:t>促进试点区社会发展与环境改善的和谐统一，保障生产、生活和生态的永续发展</w:t>
      </w:r>
      <w:r>
        <w:rPr>
          <w:rFonts w:hint="eastAsia" w:cs="仿宋_GB2312"/>
          <w:kern w:val="2"/>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（4）可持续影响</w:t>
      </w:r>
      <w:r>
        <w:rPr>
          <w:rFonts w:hint="eastAsia"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可持续促进恢河流域水环境质量的改善，使得宁武县区域内省控、国控断面水质基本达到水环境功能区划要求。</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0"/>
        <w:rPr>
          <w:rFonts w:hint="eastAsia" w:ascii="黑体" w:hAnsi="黑体" w:eastAsia="黑体" w:cs="黑体"/>
          <w:b w:val="0"/>
          <w:bCs w:val="0"/>
          <w:sz w:val="28"/>
          <w:szCs w:val="28"/>
          <w:lang w:val="en-US" w:eastAsia="zh-CN"/>
        </w:rPr>
      </w:pPr>
      <w:bookmarkStart w:id="25" w:name="_Toc20518"/>
      <w:bookmarkStart w:id="26" w:name="_Toc29332"/>
      <w:r>
        <w:rPr>
          <w:rFonts w:hint="eastAsia" w:ascii="黑体" w:hAnsi="黑体" w:eastAsia="黑体" w:cs="黑体"/>
          <w:b w:val="0"/>
          <w:bCs w:val="0"/>
          <w:sz w:val="28"/>
          <w:szCs w:val="28"/>
          <w:lang w:val="en-US" w:eastAsia="zh-CN"/>
        </w:rPr>
        <w:t>二、绩效评价工作情况</w:t>
      </w:r>
      <w:bookmarkEnd w:id="25"/>
      <w:bookmarkEnd w:id="26"/>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27" w:name="_Toc29521"/>
      <w:bookmarkStart w:id="28" w:name="_Toc29970"/>
      <w:r>
        <w:rPr>
          <w:rFonts w:hint="eastAsia" w:ascii="楷体_GB2312" w:hAnsi="楷体_GB2312" w:eastAsia="楷体_GB2312" w:cs="楷体_GB2312"/>
          <w:b w:val="0"/>
          <w:bCs w:val="0"/>
          <w:sz w:val="28"/>
          <w:szCs w:val="28"/>
          <w:lang w:val="en-US" w:eastAsia="zh-CN"/>
        </w:rPr>
        <w:t>（一）绩效评价目的</w:t>
      </w:r>
      <w:bookmarkEnd w:id="27"/>
      <w:bookmarkEnd w:id="28"/>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为贯彻国家、省委、市委〈关于全面实施预算绩效管理的意见〉指示精神，实现预算和绩效管理一体化，着力提高财政资源配置效率和使用效益，改变预算资金分配的固化格局，提高预算管理水平和政策实施效果。通过</w:t>
      </w:r>
      <w:r>
        <w:rPr>
          <w:rFonts w:hint="eastAsia" w:cs="仿宋_GB2312"/>
          <w:kern w:val="2"/>
          <w:sz w:val="28"/>
          <w:szCs w:val="28"/>
          <w:lang w:val="en-US" w:eastAsia="zh-CN" w:bidi="ar-SA"/>
        </w:rPr>
        <w:t>本次</w:t>
      </w:r>
      <w:r>
        <w:rPr>
          <w:rFonts w:hint="eastAsia" w:ascii="仿宋_GB2312" w:hAnsi="仿宋_GB2312" w:eastAsia="仿宋_GB2312" w:cs="仿宋_GB2312"/>
          <w:kern w:val="2"/>
          <w:sz w:val="28"/>
          <w:szCs w:val="28"/>
          <w:lang w:val="en-US" w:eastAsia="zh-CN" w:bidi="ar-SA"/>
        </w:rPr>
        <w:t>绩效评价工作全面反映宁武县</w:t>
      </w:r>
      <w:r>
        <w:rPr>
          <w:rFonts w:hint="eastAsia" w:cs="仿宋_GB2312"/>
          <w:kern w:val="2"/>
          <w:sz w:val="28"/>
          <w:szCs w:val="28"/>
          <w:lang w:val="en-US" w:eastAsia="zh-CN" w:bidi="ar-SA"/>
        </w:rPr>
        <w:t>水利水保局牵头实施山水林田湖草项目</w:t>
      </w:r>
      <w:r>
        <w:rPr>
          <w:rFonts w:hint="eastAsia" w:ascii="仿宋_GB2312" w:hAnsi="仿宋_GB2312" w:eastAsia="仿宋_GB2312" w:cs="仿宋_GB2312"/>
          <w:kern w:val="2"/>
          <w:sz w:val="28"/>
          <w:szCs w:val="28"/>
          <w:lang w:val="en-US" w:eastAsia="zh-CN" w:bidi="ar-SA"/>
        </w:rPr>
        <w:t>所涉及的</w:t>
      </w:r>
      <w:r>
        <w:rPr>
          <w:rFonts w:hint="eastAsia" w:cs="仿宋_GB2312"/>
          <w:kern w:val="2"/>
          <w:sz w:val="28"/>
          <w:szCs w:val="28"/>
          <w:lang w:val="en-US" w:eastAsia="zh-CN" w:bidi="ar-SA"/>
        </w:rPr>
        <w:t>项目产出、</w:t>
      </w:r>
      <w:r>
        <w:rPr>
          <w:rFonts w:hint="eastAsia" w:ascii="仿宋_GB2312" w:hAnsi="仿宋_GB2312" w:eastAsia="仿宋_GB2312" w:cs="仿宋_GB2312"/>
          <w:kern w:val="2"/>
          <w:sz w:val="28"/>
          <w:szCs w:val="28"/>
          <w:lang w:val="en-US" w:eastAsia="zh-CN" w:bidi="ar-SA"/>
        </w:rPr>
        <w:t>资金</w:t>
      </w:r>
      <w:r>
        <w:rPr>
          <w:rFonts w:hint="eastAsia" w:cs="仿宋_GB2312"/>
          <w:kern w:val="2"/>
          <w:sz w:val="28"/>
          <w:szCs w:val="28"/>
          <w:lang w:val="en-US" w:eastAsia="zh-CN" w:bidi="ar-SA"/>
        </w:rPr>
        <w:t>收支</w:t>
      </w:r>
      <w:r>
        <w:rPr>
          <w:rFonts w:hint="eastAsia" w:ascii="仿宋_GB2312" w:hAnsi="仿宋_GB2312" w:eastAsia="仿宋_GB2312" w:cs="仿宋_GB2312"/>
          <w:kern w:val="2"/>
          <w:sz w:val="28"/>
          <w:szCs w:val="28"/>
          <w:lang w:val="en-US" w:eastAsia="zh-CN" w:bidi="ar-SA"/>
        </w:rPr>
        <w:t>的经济性、效率性、效益性和公平性，及时发现问题，分析原因，</w:t>
      </w:r>
      <w:r>
        <w:rPr>
          <w:rFonts w:hint="eastAsia" w:cs="仿宋_GB2312"/>
          <w:kern w:val="2"/>
          <w:sz w:val="28"/>
          <w:szCs w:val="28"/>
          <w:lang w:val="en-US" w:eastAsia="zh-CN" w:bidi="ar-SA"/>
        </w:rPr>
        <w:t>提出建议，</w:t>
      </w:r>
      <w:r>
        <w:rPr>
          <w:rFonts w:hint="eastAsia" w:ascii="仿宋_GB2312" w:hAnsi="仿宋_GB2312" w:eastAsia="仿宋_GB2312" w:cs="仿宋_GB2312"/>
          <w:kern w:val="2"/>
          <w:sz w:val="28"/>
          <w:szCs w:val="28"/>
          <w:lang w:val="en-US" w:eastAsia="zh-CN" w:bidi="ar-SA"/>
        </w:rPr>
        <w:t>总结经验，加强财政支出管理，科学配置资源，提高财政</w:t>
      </w:r>
      <w:r>
        <w:rPr>
          <w:rFonts w:hint="eastAsia" w:cs="仿宋_GB2312"/>
          <w:kern w:val="2"/>
          <w:sz w:val="28"/>
          <w:szCs w:val="28"/>
          <w:lang w:val="en-US" w:eastAsia="zh-CN" w:bidi="ar-SA"/>
        </w:rPr>
        <w:t>专项</w:t>
      </w:r>
      <w:r>
        <w:rPr>
          <w:rFonts w:hint="eastAsia" w:ascii="仿宋_GB2312" w:hAnsi="仿宋_GB2312" w:eastAsia="仿宋_GB2312" w:cs="仿宋_GB2312"/>
          <w:kern w:val="2"/>
          <w:sz w:val="28"/>
          <w:szCs w:val="28"/>
          <w:lang w:val="en-US" w:eastAsia="zh-CN" w:bidi="ar-SA"/>
        </w:rPr>
        <w:t>资金使用效益</w:t>
      </w:r>
      <w:r>
        <w:rPr>
          <w:rFonts w:hint="eastAsia" w:cs="仿宋_GB2312"/>
          <w:kern w:val="2"/>
          <w:sz w:val="28"/>
          <w:szCs w:val="28"/>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29" w:name="_Toc13255"/>
      <w:bookmarkStart w:id="30" w:name="_Toc20240"/>
      <w:r>
        <w:rPr>
          <w:rFonts w:hint="eastAsia" w:ascii="楷体_GB2312" w:hAnsi="楷体_GB2312" w:eastAsia="楷体_GB2312" w:cs="楷体_GB2312"/>
          <w:b w:val="0"/>
          <w:bCs w:val="0"/>
          <w:sz w:val="28"/>
          <w:szCs w:val="28"/>
          <w:lang w:val="en-US" w:eastAsia="zh-CN"/>
        </w:rPr>
        <w:t>（二）评价对象与范围</w:t>
      </w:r>
      <w:bookmarkEnd w:id="29"/>
      <w:bookmarkEnd w:id="30"/>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本次绩效评价对象是2020年度宁武县</w:t>
      </w:r>
      <w:r>
        <w:rPr>
          <w:rFonts w:hint="eastAsia" w:cs="仿宋_GB2312"/>
          <w:kern w:val="2"/>
          <w:sz w:val="28"/>
          <w:szCs w:val="28"/>
          <w:lang w:val="en-US" w:eastAsia="zh-CN" w:bidi="ar-SA"/>
        </w:rPr>
        <w:t>水利水保局恢河干流生态植被建设项目及</w:t>
      </w:r>
      <w:r>
        <w:rPr>
          <w:rFonts w:hint="eastAsia" w:ascii="仿宋_GB2312" w:hAnsi="仿宋_GB2312" w:eastAsia="仿宋_GB2312" w:cs="仿宋_GB2312"/>
          <w:kern w:val="2"/>
          <w:sz w:val="28"/>
          <w:szCs w:val="28"/>
          <w:lang w:val="en-US" w:eastAsia="zh-CN" w:bidi="ar-SA"/>
        </w:rPr>
        <w:t>财政赤字国债专项资金</w:t>
      </w:r>
      <w:r>
        <w:rPr>
          <w:rFonts w:hint="eastAsia" w:cs="仿宋_GB2312"/>
          <w:kern w:val="2"/>
          <w:sz w:val="28"/>
          <w:szCs w:val="28"/>
          <w:lang w:val="en-US" w:eastAsia="zh-CN" w:bidi="ar-SA"/>
        </w:rPr>
        <w:t>915.22</w:t>
      </w:r>
      <w:r>
        <w:rPr>
          <w:rFonts w:hint="eastAsia" w:ascii="仿宋_GB2312" w:hAnsi="仿宋_GB2312" w:eastAsia="仿宋_GB2312" w:cs="仿宋_GB2312"/>
          <w:kern w:val="2"/>
          <w:sz w:val="28"/>
          <w:szCs w:val="28"/>
          <w:lang w:val="en-US" w:eastAsia="zh-CN" w:bidi="ar-SA"/>
        </w:rPr>
        <w:t>万元。</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ascii="仿宋_GB2312" w:hAnsi="仿宋_GB2312" w:eastAsia="仿宋_GB2312" w:cs="仿宋_GB2312"/>
          <w:color w:val="auto"/>
          <w:kern w:val="2"/>
          <w:sz w:val="28"/>
          <w:szCs w:val="28"/>
          <w:u w:val="none"/>
          <w:lang w:val="en-US" w:eastAsia="zh-CN" w:bidi="ar-SA"/>
        </w:rPr>
      </w:pPr>
      <w:r>
        <w:rPr>
          <w:rFonts w:hint="eastAsia" w:cs="仿宋_GB2312"/>
          <w:kern w:val="2"/>
          <w:sz w:val="28"/>
          <w:szCs w:val="28"/>
          <w:lang w:val="en-US" w:eastAsia="zh-CN" w:bidi="ar-SA"/>
        </w:rPr>
        <w:t>本次绩</w:t>
      </w:r>
      <w:r>
        <w:rPr>
          <w:rFonts w:hint="eastAsia" w:cs="仿宋_GB2312"/>
          <w:color w:val="auto"/>
          <w:kern w:val="2"/>
          <w:sz w:val="28"/>
          <w:szCs w:val="28"/>
          <w:u w:val="none"/>
          <w:lang w:val="en-US" w:eastAsia="zh-CN" w:bidi="ar-SA"/>
        </w:rPr>
        <w:t>效评价范围是</w:t>
      </w:r>
      <w:r>
        <w:rPr>
          <w:rFonts w:hint="eastAsia" w:ascii="仿宋_GB2312" w:hAnsi="仿宋_GB2312" w:eastAsia="仿宋_GB2312" w:cs="仿宋_GB2312"/>
          <w:color w:val="auto"/>
          <w:kern w:val="2"/>
          <w:sz w:val="28"/>
          <w:szCs w:val="28"/>
          <w:u w:val="none"/>
          <w:lang w:val="en-US" w:eastAsia="zh-CN" w:bidi="ar-SA"/>
        </w:rPr>
        <w:t>2020年度宁武县</w:t>
      </w:r>
      <w:r>
        <w:rPr>
          <w:rFonts w:hint="eastAsia" w:cs="仿宋_GB2312"/>
          <w:color w:val="auto"/>
          <w:kern w:val="2"/>
          <w:sz w:val="28"/>
          <w:szCs w:val="28"/>
          <w:u w:val="none"/>
          <w:lang w:val="en-US" w:eastAsia="zh-CN" w:bidi="ar-SA"/>
        </w:rPr>
        <w:t>水利水保局恢河干流生态植被建设项目及</w:t>
      </w:r>
      <w:r>
        <w:rPr>
          <w:rFonts w:hint="eastAsia" w:ascii="仿宋_GB2312" w:hAnsi="仿宋_GB2312" w:eastAsia="仿宋_GB2312" w:cs="仿宋_GB2312"/>
          <w:color w:val="auto"/>
          <w:kern w:val="2"/>
          <w:sz w:val="28"/>
          <w:szCs w:val="28"/>
          <w:u w:val="none"/>
          <w:lang w:val="en-US" w:eastAsia="zh-CN" w:bidi="ar-SA"/>
        </w:rPr>
        <w:t>财政赤字国债专项资金</w:t>
      </w:r>
      <w:r>
        <w:rPr>
          <w:rFonts w:hint="eastAsia" w:cs="仿宋_GB2312"/>
          <w:color w:val="auto"/>
          <w:kern w:val="2"/>
          <w:sz w:val="28"/>
          <w:szCs w:val="28"/>
          <w:u w:val="none"/>
          <w:lang w:val="en-US" w:eastAsia="zh-CN" w:bidi="ar-SA"/>
        </w:rPr>
        <w:t>915.22</w:t>
      </w:r>
      <w:r>
        <w:rPr>
          <w:rFonts w:hint="eastAsia" w:ascii="仿宋_GB2312" w:hAnsi="仿宋_GB2312" w:eastAsia="仿宋_GB2312" w:cs="仿宋_GB2312"/>
          <w:color w:val="auto"/>
          <w:kern w:val="2"/>
          <w:sz w:val="28"/>
          <w:szCs w:val="28"/>
          <w:u w:val="none"/>
          <w:lang w:val="en-US" w:eastAsia="zh-CN" w:bidi="ar-SA"/>
        </w:rPr>
        <w:t>万元</w:t>
      </w:r>
      <w:r>
        <w:rPr>
          <w:rFonts w:hint="eastAsia" w:cs="仿宋_GB2312"/>
          <w:color w:val="auto"/>
          <w:kern w:val="2"/>
          <w:sz w:val="28"/>
          <w:szCs w:val="28"/>
          <w:u w:val="none"/>
          <w:lang w:val="en-US" w:eastAsia="zh-CN" w:bidi="ar-SA"/>
        </w:rPr>
        <w:t>，</w:t>
      </w:r>
      <w:r>
        <w:rPr>
          <w:rFonts w:hint="eastAsia" w:ascii="仿宋_GB2312" w:hAnsi="仿宋_GB2312" w:eastAsia="仿宋_GB2312" w:cs="仿宋_GB2312"/>
          <w:color w:val="auto"/>
          <w:sz w:val="28"/>
          <w:szCs w:val="28"/>
          <w:u w:val="none"/>
          <w:lang w:val="en-US" w:eastAsia="zh-CN"/>
        </w:rPr>
        <w:t>对</w:t>
      </w:r>
      <w:r>
        <w:rPr>
          <w:rFonts w:hint="eastAsia" w:ascii="仿宋_GB2312" w:hAnsi="仿宋_GB2312" w:cs="仿宋_GB2312"/>
          <w:color w:val="auto"/>
          <w:sz w:val="28"/>
          <w:szCs w:val="28"/>
          <w:u w:val="none"/>
          <w:lang w:val="en-US" w:eastAsia="zh-CN"/>
        </w:rPr>
        <w:t>项目建设过程</w:t>
      </w:r>
      <w:r>
        <w:rPr>
          <w:rFonts w:hint="eastAsia" w:ascii="仿宋_GB2312" w:hAnsi="仿宋_GB2312" w:eastAsia="仿宋_GB2312" w:cs="仿宋_GB2312"/>
          <w:color w:val="auto"/>
          <w:sz w:val="28"/>
          <w:szCs w:val="28"/>
          <w:u w:val="none"/>
          <w:lang w:val="en-US" w:eastAsia="zh-CN"/>
        </w:rPr>
        <w:t>、产出效益、资金使用</w:t>
      </w:r>
      <w:r>
        <w:rPr>
          <w:rFonts w:hint="eastAsia" w:cs="仿宋_GB2312"/>
          <w:color w:val="auto"/>
          <w:sz w:val="28"/>
          <w:szCs w:val="28"/>
          <w:u w:val="none"/>
          <w:lang w:val="en-US" w:eastAsia="zh-CN"/>
        </w:rPr>
        <w:t>等方面</w:t>
      </w:r>
      <w:r>
        <w:rPr>
          <w:rFonts w:hint="eastAsia" w:ascii="仿宋_GB2312" w:hAnsi="仿宋_GB2312" w:eastAsia="仿宋_GB2312" w:cs="仿宋_GB2312"/>
          <w:color w:val="auto"/>
          <w:sz w:val="28"/>
          <w:szCs w:val="28"/>
          <w:u w:val="none"/>
          <w:lang w:val="en-US" w:eastAsia="zh-CN"/>
        </w:rPr>
        <w:t>进行综合评价</w:t>
      </w:r>
      <w:r>
        <w:rPr>
          <w:rFonts w:hint="eastAsia" w:cs="仿宋_GB2312"/>
          <w:color w:val="auto"/>
          <w:sz w:val="28"/>
          <w:szCs w:val="28"/>
          <w:u w:val="none"/>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eastAsia" w:ascii="楷体_GB2312" w:hAnsi="楷体_GB2312" w:eastAsia="楷体_GB2312" w:cs="楷体_GB2312"/>
          <w:color w:val="auto"/>
          <w:kern w:val="2"/>
          <w:sz w:val="28"/>
          <w:szCs w:val="28"/>
          <w:u w:val="none"/>
          <w:lang w:val="en-US" w:eastAsia="zh-CN" w:bidi="ar-SA"/>
        </w:rPr>
      </w:pPr>
      <w:bookmarkStart w:id="31" w:name="_Toc11500"/>
      <w:r>
        <w:rPr>
          <w:rFonts w:hint="eastAsia" w:ascii="楷体_GB2312" w:hAnsi="楷体_GB2312" w:eastAsia="楷体_GB2312" w:cs="楷体_GB2312"/>
          <w:color w:val="auto"/>
          <w:kern w:val="2"/>
          <w:sz w:val="28"/>
          <w:szCs w:val="28"/>
          <w:u w:val="none"/>
          <w:lang w:val="en-US" w:eastAsia="zh-CN" w:bidi="ar-SA"/>
        </w:rPr>
        <w:t>（三）评价基准日</w:t>
      </w:r>
      <w:bookmarkEnd w:id="31"/>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ascii="楷体_GB2312" w:hAnsi="楷体_GB2312" w:eastAsia="楷体_GB2312" w:cs="楷体_GB2312"/>
          <w:b w:val="0"/>
          <w:bCs w:val="0"/>
          <w:color w:val="auto"/>
          <w:sz w:val="28"/>
          <w:szCs w:val="28"/>
          <w:u w:val="none"/>
          <w:lang w:val="en-US" w:eastAsia="zh-CN"/>
        </w:rPr>
      </w:pPr>
      <w:r>
        <w:rPr>
          <w:rFonts w:hint="eastAsia" w:cs="仿宋_GB2312"/>
          <w:color w:val="auto"/>
          <w:kern w:val="2"/>
          <w:sz w:val="28"/>
          <w:szCs w:val="28"/>
          <w:u w:val="none"/>
          <w:lang w:val="en-US" w:eastAsia="zh-CN" w:bidi="ar-SA"/>
        </w:rPr>
        <w:t>本次绩效评价基准日为2021年07月02日。</w:t>
      </w:r>
      <w:bookmarkStart w:id="32" w:name="_Toc18285"/>
    </w:p>
    <w:bookmarkEnd w:id="32"/>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33" w:name="_Toc1976"/>
      <w:bookmarkStart w:id="34" w:name="_Toc17275"/>
      <w:bookmarkStart w:id="35" w:name="_Toc1754"/>
      <w:r>
        <w:rPr>
          <w:rFonts w:hint="eastAsia" w:ascii="楷体_GB2312" w:hAnsi="楷体_GB2312" w:eastAsia="楷体_GB2312" w:cs="楷体_GB2312"/>
          <w:i w:val="0"/>
          <w:iCs w:val="0"/>
          <w:caps w:val="0"/>
          <w:color w:val="auto"/>
          <w:spacing w:val="0"/>
          <w:sz w:val="28"/>
          <w:szCs w:val="28"/>
          <w:highlight w:val="none"/>
          <w:u w:val="none"/>
          <w:lang w:val="en-US" w:eastAsia="zh-CN"/>
        </w:rPr>
        <w:t>（四）绩效评价指标体系</w:t>
      </w:r>
      <w:bookmarkEnd w:id="33"/>
      <w:bookmarkEnd w:id="34"/>
    </w:p>
    <w:p>
      <w:pPr>
        <w:pStyle w:val="6"/>
        <w:bidi w:val="0"/>
        <w:rPr>
          <w:rFonts w:hint="eastAsia"/>
          <w:lang w:val="en-US" w:eastAsia="zh-CN"/>
        </w:rPr>
      </w:pPr>
      <w:r>
        <w:rPr>
          <w:rFonts w:hint="eastAsia"/>
          <w:lang w:val="en-US" w:eastAsia="zh-CN"/>
        </w:rPr>
        <w:t>1.指标体系设计思路</w:t>
      </w:r>
    </w:p>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按照财政部《项目支出绩效评价管理办法》（财预〔2020〕10号）和山西省《省级项目支出绩效评价管理办法》（晋财绩〔2020〕17号）中的项目支出绩效评价指标体系框架（参考），遵循“突出项目资金、兼顾政策内容”的评价思路，结合</w:t>
      </w:r>
      <w:r>
        <w:rPr>
          <w:rFonts w:hint="eastAsia" w:ascii="仿宋_GB2312" w:hAnsi="仿宋_GB2312" w:cs="仿宋_GB2312"/>
          <w:i w:val="0"/>
          <w:iCs w:val="0"/>
          <w:caps w:val="0"/>
          <w:color w:val="auto"/>
          <w:spacing w:val="0"/>
          <w:sz w:val="28"/>
          <w:szCs w:val="28"/>
          <w:highlight w:val="none"/>
          <w:u w:val="none"/>
          <w:lang w:val="en-US" w:eastAsia="zh-CN"/>
        </w:rPr>
        <w:t>宁武县水利水保局恢河干流生态植被建设项目</w:t>
      </w:r>
      <w:r>
        <w:rPr>
          <w:rFonts w:hint="eastAsia" w:ascii="仿宋_GB2312" w:hAnsi="仿宋_GB2312" w:eastAsia="仿宋_GB2312" w:cs="仿宋_GB2312"/>
          <w:i w:val="0"/>
          <w:iCs w:val="0"/>
          <w:caps w:val="0"/>
          <w:color w:val="auto"/>
          <w:spacing w:val="0"/>
          <w:sz w:val="28"/>
          <w:szCs w:val="28"/>
          <w:highlight w:val="none"/>
          <w:u w:val="none"/>
          <w:lang w:val="en-US" w:eastAsia="zh-CN"/>
        </w:rPr>
        <w:t>的实际情况，本着全面反映</w:t>
      </w:r>
      <w:r>
        <w:rPr>
          <w:rFonts w:hint="eastAsia" w:ascii="仿宋_GB2312" w:hAnsi="仿宋_GB2312" w:cs="仿宋_GB2312"/>
          <w:i w:val="0"/>
          <w:iCs w:val="0"/>
          <w:caps w:val="0"/>
          <w:color w:val="auto"/>
          <w:spacing w:val="0"/>
          <w:sz w:val="28"/>
          <w:szCs w:val="28"/>
          <w:highlight w:val="none"/>
          <w:u w:val="none"/>
          <w:lang w:val="en-US" w:eastAsia="zh-CN"/>
        </w:rPr>
        <w:t>宁武县水利水保局恢河干流生态植被建设项目</w:t>
      </w:r>
      <w:r>
        <w:rPr>
          <w:rFonts w:hint="eastAsia" w:ascii="仿宋_GB2312" w:hAnsi="仿宋_GB2312" w:eastAsia="仿宋_GB2312" w:cs="仿宋_GB2312"/>
          <w:i w:val="0"/>
          <w:iCs w:val="0"/>
          <w:caps w:val="0"/>
          <w:color w:val="auto"/>
          <w:spacing w:val="0"/>
          <w:sz w:val="28"/>
          <w:szCs w:val="28"/>
          <w:highlight w:val="none"/>
          <w:u w:val="none"/>
          <w:lang w:val="en-US" w:eastAsia="zh-CN"/>
        </w:rPr>
        <w:t>的预算绩效管理情况，本着尽可能细化、量化、可操作的原则，结合计划标准、历史标准等制定指标的目标值，兼顾相关政策内容，设计形成了</w:t>
      </w:r>
      <w:r>
        <w:rPr>
          <w:rFonts w:hint="eastAsia" w:ascii="仿宋_GB2312" w:hAnsi="仿宋_GB2312" w:cs="仿宋_GB2312"/>
          <w:i w:val="0"/>
          <w:iCs w:val="0"/>
          <w:caps w:val="0"/>
          <w:color w:val="auto"/>
          <w:spacing w:val="0"/>
          <w:sz w:val="28"/>
          <w:szCs w:val="28"/>
          <w:highlight w:val="none"/>
          <w:u w:val="none"/>
          <w:lang w:val="en-US" w:eastAsia="zh-CN"/>
        </w:rPr>
        <w:t>宁武县水利水保局恢河干流生态植被建设项目</w:t>
      </w:r>
      <w:r>
        <w:rPr>
          <w:rFonts w:hint="eastAsia" w:ascii="仿宋_GB2312" w:hAnsi="仿宋_GB2312" w:eastAsia="仿宋_GB2312" w:cs="仿宋_GB2312"/>
          <w:i w:val="0"/>
          <w:iCs w:val="0"/>
          <w:caps w:val="0"/>
          <w:color w:val="auto"/>
          <w:spacing w:val="0"/>
          <w:sz w:val="28"/>
          <w:szCs w:val="28"/>
          <w:highlight w:val="none"/>
          <w:u w:val="none"/>
          <w:lang w:val="en-US" w:eastAsia="zh-CN"/>
        </w:rPr>
        <w:t>支出绩效评价指标体系，从决策、过程、产出和效益四个维度进行评价。</w:t>
      </w:r>
    </w:p>
    <w:p>
      <w:pPr>
        <w:pStyle w:val="6"/>
        <w:bidi w:val="0"/>
        <w:rPr>
          <w:rFonts w:hint="eastAsia"/>
          <w:lang w:val="zh-CN" w:eastAsia="zh-CN"/>
        </w:rPr>
      </w:pPr>
      <w:r>
        <w:rPr>
          <w:rFonts w:hint="eastAsia"/>
          <w:lang w:val="en-US" w:eastAsia="zh-CN"/>
        </w:rPr>
        <w:t>2</w:t>
      </w:r>
      <w:r>
        <w:rPr>
          <w:rFonts w:hint="eastAsia"/>
          <w:lang w:val="zh-CN" w:eastAsia="zh-CN"/>
        </w:rPr>
        <w:t>.权重设计思路</w:t>
      </w:r>
    </w:p>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color w:val="auto"/>
          <w:kern w:val="0"/>
          <w:sz w:val="28"/>
          <w:szCs w:val="28"/>
          <w:u w:val="none"/>
          <w:lang w:val="zh-CN" w:eastAsia="zh-CN" w:bidi="zh-CN"/>
        </w:rPr>
        <w:t>本次</w:t>
      </w:r>
      <w:r>
        <w:rPr>
          <w:rFonts w:hint="eastAsia" w:ascii="仿宋_GB2312" w:hAnsi="仿宋_GB2312" w:eastAsia="仿宋_GB2312" w:cs="仿宋_GB2312"/>
          <w:color w:val="auto"/>
          <w:kern w:val="0"/>
          <w:sz w:val="28"/>
          <w:szCs w:val="28"/>
          <w:u w:val="none"/>
          <w:lang w:val="en-US" w:eastAsia="zh-CN" w:bidi="zh-CN"/>
        </w:rPr>
        <w:t>绩效评价一级指标</w:t>
      </w:r>
      <w:r>
        <w:rPr>
          <w:rFonts w:hint="eastAsia" w:ascii="仿宋_GB2312" w:hAnsi="仿宋_GB2312" w:eastAsia="仿宋_GB2312" w:cs="仿宋_GB2312"/>
          <w:color w:val="auto"/>
          <w:kern w:val="0"/>
          <w:sz w:val="28"/>
          <w:szCs w:val="28"/>
          <w:u w:val="none"/>
          <w:lang w:val="zh-CN" w:eastAsia="zh-CN" w:bidi="zh-CN"/>
        </w:rPr>
        <w:t>权重设计</w:t>
      </w:r>
      <w:r>
        <w:rPr>
          <w:rFonts w:hint="eastAsia" w:ascii="仿宋_GB2312" w:hAnsi="仿宋_GB2312" w:eastAsia="仿宋_GB2312" w:cs="仿宋_GB2312"/>
          <w:color w:val="auto"/>
          <w:kern w:val="0"/>
          <w:sz w:val="28"/>
          <w:szCs w:val="28"/>
          <w:u w:val="none"/>
          <w:lang w:val="en-US" w:eastAsia="zh-CN" w:bidi="zh-CN"/>
        </w:rPr>
        <w:t>按照财政部</w:t>
      </w:r>
      <w:r>
        <w:rPr>
          <w:rFonts w:hint="eastAsia" w:ascii="仿宋_GB2312" w:hAnsi="仿宋_GB2312" w:eastAsia="仿宋_GB2312" w:cs="仿宋_GB2312"/>
          <w:i w:val="0"/>
          <w:iCs w:val="0"/>
          <w:caps w:val="0"/>
          <w:color w:val="auto"/>
          <w:spacing w:val="0"/>
          <w:sz w:val="28"/>
          <w:szCs w:val="28"/>
          <w:highlight w:val="none"/>
          <w:u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u w:val="none"/>
          <w:lang w:val="en-US" w:eastAsia="zh-CN" w:bidi="zh-CN"/>
        </w:rPr>
        <w:t>文件要求执行</w:t>
      </w:r>
      <w:r>
        <w:rPr>
          <w:rFonts w:hint="eastAsia" w:ascii="仿宋_GB2312" w:hAnsi="仿宋_GB2312" w:eastAsia="仿宋_GB2312" w:cs="仿宋_GB2312"/>
          <w:color w:val="auto"/>
          <w:kern w:val="0"/>
          <w:sz w:val="28"/>
          <w:szCs w:val="28"/>
          <w:u w:val="none"/>
          <w:lang w:val="zh-CN" w:eastAsia="zh-CN" w:bidi="zh-CN"/>
        </w:rPr>
        <w:t>，最终确定</w:t>
      </w:r>
      <w:r>
        <w:rPr>
          <w:rFonts w:hint="eastAsia" w:ascii="仿宋_GB2312" w:hAnsi="仿宋_GB2312" w:eastAsia="仿宋_GB2312" w:cs="仿宋_GB2312"/>
          <w:color w:val="auto"/>
          <w:kern w:val="0"/>
          <w:sz w:val="28"/>
          <w:szCs w:val="28"/>
          <w:u w:val="none"/>
          <w:lang w:val="en-US" w:eastAsia="zh-CN" w:bidi="zh-CN"/>
        </w:rPr>
        <w:t>决策</w:t>
      </w:r>
      <w:r>
        <w:rPr>
          <w:rFonts w:hint="eastAsia" w:ascii="仿宋_GB2312" w:hAnsi="仿宋_GB2312" w:eastAsia="仿宋_GB2312" w:cs="仿宋_GB2312"/>
          <w:color w:val="auto"/>
          <w:kern w:val="0"/>
          <w:sz w:val="28"/>
          <w:szCs w:val="28"/>
          <w:u w:val="none"/>
          <w:lang w:val="zh-CN" w:eastAsia="zh-CN" w:bidi="zh-CN"/>
        </w:rPr>
        <w:t>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0%，过程类指标权重占比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0%，产出类指标权重占比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0%，效益类指标权重占比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0%。二、三级指标</w:t>
      </w:r>
      <w:r>
        <w:rPr>
          <w:rFonts w:hint="eastAsia" w:ascii="仿宋_GB2312" w:hAnsi="仿宋_GB2312" w:eastAsia="仿宋_GB2312" w:cs="仿宋_GB2312"/>
          <w:color w:val="auto"/>
          <w:kern w:val="0"/>
          <w:sz w:val="28"/>
          <w:szCs w:val="28"/>
          <w:u w:val="none"/>
          <w:lang w:val="en-US" w:eastAsia="zh-CN" w:bidi="zh-CN"/>
        </w:rPr>
        <w:t>权重分值</w:t>
      </w:r>
      <w:r>
        <w:rPr>
          <w:rFonts w:hint="eastAsia" w:ascii="仿宋_GB2312" w:hAnsi="仿宋_GB2312" w:eastAsia="仿宋_GB2312" w:cs="仿宋_GB2312"/>
          <w:color w:val="auto"/>
          <w:kern w:val="0"/>
          <w:sz w:val="28"/>
          <w:szCs w:val="28"/>
          <w:u w:val="none"/>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bidi w:val="0"/>
        <w:rPr>
          <w:rFonts w:hint="eastAsia"/>
          <w:lang w:val="en-US" w:eastAsia="zh-CN"/>
        </w:rPr>
      </w:pPr>
      <w:r>
        <w:rPr>
          <w:rFonts w:hint="eastAsia"/>
          <w:lang w:val="en-US" w:eastAsia="zh-CN"/>
        </w:rPr>
        <w:t>3.指标体系具体内容</w:t>
      </w:r>
    </w:p>
    <w:p>
      <w:pPr>
        <w:pStyle w:val="1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560" w:firstLineChars="200"/>
        <w:textAlignment w:val="auto"/>
        <w:outlineLvl w:val="9"/>
        <w:rPr>
          <w:rFonts w:hint="default"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指标体系由</w:t>
      </w:r>
      <w:r>
        <w:rPr>
          <w:rFonts w:hint="eastAsia" w:ascii="仿宋_GB2312" w:hAnsi="仿宋_GB2312" w:cs="仿宋_GB2312"/>
          <w:i w:val="0"/>
          <w:iCs w:val="0"/>
          <w:caps w:val="0"/>
          <w:color w:val="auto"/>
          <w:spacing w:val="0"/>
          <w:sz w:val="28"/>
          <w:szCs w:val="28"/>
          <w:highlight w:val="none"/>
          <w:u w:val="none"/>
          <w:lang w:val="en-US" w:eastAsia="zh-CN"/>
        </w:rPr>
        <w:t>4</w:t>
      </w:r>
      <w:r>
        <w:rPr>
          <w:rFonts w:hint="eastAsia" w:ascii="仿宋_GB2312" w:hAnsi="仿宋_GB2312" w:eastAsia="仿宋_GB2312" w:cs="仿宋_GB2312"/>
          <w:i w:val="0"/>
          <w:iCs w:val="0"/>
          <w:caps w:val="0"/>
          <w:color w:val="auto"/>
          <w:spacing w:val="0"/>
          <w:sz w:val="28"/>
          <w:szCs w:val="28"/>
          <w:highlight w:val="none"/>
          <w:u w:val="none"/>
          <w:lang w:val="en-US" w:eastAsia="zh-CN"/>
        </w:rPr>
        <w:t>项一级指标、</w:t>
      </w:r>
      <w:r>
        <w:rPr>
          <w:rFonts w:hint="eastAsia" w:ascii="仿宋_GB2312" w:hAnsi="仿宋_GB2312" w:cs="仿宋_GB2312"/>
          <w:i w:val="0"/>
          <w:iCs w:val="0"/>
          <w:caps w:val="0"/>
          <w:color w:val="auto"/>
          <w:spacing w:val="0"/>
          <w:sz w:val="28"/>
          <w:szCs w:val="28"/>
          <w:highlight w:val="none"/>
          <w:u w:val="none"/>
          <w:lang w:val="en-US" w:eastAsia="zh-CN"/>
        </w:rPr>
        <w:t>12</w:t>
      </w:r>
      <w:r>
        <w:rPr>
          <w:rFonts w:hint="eastAsia" w:ascii="仿宋_GB2312" w:hAnsi="仿宋_GB2312" w:eastAsia="仿宋_GB2312" w:cs="仿宋_GB2312"/>
          <w:i w:val="0"/>
          <w:iCs w:val="0"/>
          <w:caps w:val="0"/>
          <w:color w:val="auto"/>
          <w:spacing w:val="0"/>
          <w:sz w:val="28"/>
          <w:szCs w:val="28"/>
          <w:highlight w:val="none"/>
          <w:u w:val="none"/>
          <w:lang w:val="en-US" w:eastAsia="zh-CN"/>
        </w:rPr>
        <w:t>项二级指标、</w:t>
      </w:r>
      <w:r>
        <w:rPr>
          <w:rFonts w:hint="eastAsia" w:ascii="仿宋_GB2312" w:hAnsi="仿宋_GB2312" w:cs="仿宋_GB2312"/>
          <w:i w:val="0"/>
          <w:iCs w:val="0"/>
          <w:caps w:val="0"/>
          <w:color w:val="auto"/>
          <w:spacing w:val="0"/>
          <w:sz w:val="28"/>
          <w:szCs w:val="28"/>
          <w:highlight w:val="none"/>
          <w:u w:val="none"/>
          <w:lang w:val="en-US" w:eastAsia="zh-CN"/>
        </w:rPr>
        <w:t>22</w:t>
      </w:r>
      <w:r>
        <w:rPr>
          <w:rFonts w:hint="eastAsia" w:ascii="仿宋_GB2312" w:hAnsi="仿宋_GB2312" w:eastAsia="仿宋_GB2312" w:cs="仿宋_GB2312"/>
          <w:i w:val="0"/>
          <w:iCs w:val="0"/>
          <w:caps w:val="0"/>
          <w:color w:val="auto"/>
          <w:spacing w:val="0"/>
          <w:sz w:val="28"/>
          <w:szCs w:val="28"/>
          <w:highlight w:val="none"/>
          <w:u w:val="none"/>
          <w:lang w:val="en-US" w:eastAsia="zh-CN"/>
        </w:rPr>
        <w:t>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经济效益、生态效益、可持续影响、满意度进行考核。具体指标体系详见下表：</w:t>
      </w:r>
    </w:p>
    <w:p>
      <w:pPr>
        <w:pStyle w:val="5"/>
        <w:bidi w:val="0"/>
        <w:rPr>
          <w:rFonts w:hint="eastAsia"/>
          <w:lang w:val="en-US" w:eastAsia="zh-CN"/>
        </w:rPr>
      </w:pPr>
      <w:bookmarkStart w:id="36" w:name="_Toc17120"/>
      <w:bookmarkStart w:id="37" w:name="_Toc10955"/>
      <w:r>
        <w:rPr>
          <w:rFonts w:hint="eastAsia"/>
          <w:lang w:val="en-US" w:eastAsia="zh-CN"/>
        </w:rPr>
        <w:t>（五）绩效评价工作过程</w:t>
      </w:r>
      <w:bookmarkEnd w:id="36"/>
      <w:bookmarkEnd w:id="37"/>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eastAsia" w:ascii="仿宋_GB2312" w:hAnsi="仿宋_GB2312" w:cs="仿宋_GB2312"/>
          <w:i w:val="0"/>
          <w:iCs w:val="0"/>
          <w:caps w:val="0"/>
          <w:color w:val="auto"/>
          <w:spacing w:val="0"/>
          <w:sz w:val="28"/>
          <w:szCs w:val="27"/>
          <w:highlight w:val="none"/>
          <w:u w:val="none"/>
          <w:lang w:val="en-US" w:eastAsia="zh-CN"/>
        </w:rPr>
        <w:t>接受宁武县财政局</w:t>
      </w:r>
      <w:r>
        <w:rPr>
          <w:rFonts w:hint="default" w:ascii="仿宋_GB2312" w:hAnsi="仿宋_GB2312" w:eastAsia="仿宋_GB2312" w:cs="仿宋_GB2312"/>
          <w:i w:val="0"/>
          <w:iCs w:val="0"/>
          <w:caps w:val="0"/>
          <w:color w:val="auto"/>
          <w:spacing w:val="0"/>
          <w:sz w:val="28"/>
          <w:szCs w:val="27"/>
          <w:highlight w:val="none"/>
          <w:u w:val="none"/>
          <w:lang w:val="en-US" w:eastAsia="zh-CN"/>
        </w:rPr>
        <w:t>的委托</w:t>
      </w:r>
      <w:r>
        <w:rPr>
          <w:rFonts w:hint="eastAsia" w:ascii="仿宋_GB2312" w:hAnsi="仿宋_GB2312" w:eastAsia="仿宋_GB2312" w:cs="仿宋_GB2312"/>
          <w:i w:val="0"/>
          <w:iCs w:val="0"/>
          <w:caps w:val="0"/>
          <w:color w:val="auto"/>
          <w:spacing w:val="0"/>
          <w:sz w:val="28"/>
          <w:szCs w:val="27"/>
          <w:highlight w:val="none"/>
          <w:u w:val="none"/>
          <w:lang w:val="en-US" w:eastAsia="zh-CN"/>
        </w:rPr>
        <w:t>后</w:t>
      </w:r>
      <w:r>
        <w:rPr>
          <w:rFonts w:hint="default" w:ascii="仿宋_GB2312" w:hAnsi="仿宋_GB2312" w:eastAsia="仿宋_GB2312" w:cs="仿宋_GB2312"/>
          <w:i w:val="0"/>
          <w:iCs w:val="0"/>
          <w:caps w:val="0"/>
          <w:color w:val="auto"/>
          <w:spacing w:val="0"/>
          <w:sz w:val="28"/>
          <w:szCs w:val="27"/>
          <w:highlight w:val="none"/>
          <w:u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auto"/>
          <w:spacing w:val="0"/>
          <w:sz w:val="28"/>
          <w:szCs w:val="27"/>
          <w:highlight w:val="none"/>
          <w:u w:val="none"/>
          <w:lang w:val="en-US" w:eastAsia="zh-CN"/>
        </w:rPr>
        <w:t>具体</w:t>
      </w:r>
      <w:r>
        <w:rPr>
          <w:rFonts w:hint="default" w:ascii="仿宋_GB2312" w:hAnsi="仿宋_GB2312" w:eastAsia="仿宋_GB2312" w:cs="仿宋_GB2312"/>
          <w:i w:val="0"/>
          <w:iCs w:val="0"/>
          <w:caps w:val="0"/>
          <w:color w:val="auto"/>
          <w:spacing w:val="0"/>
          <w:sz w:val="28"/>
          <w:szCs w:val="27"/>
          <w:highlight w:val="none"/>
          <w:u w:val="none"/>
          <w:lang w:val="en-US" w:eastAsia="zh-CN"/>
        </w:rPr>
        <w:t>工作分为</w:t>
      </w:r>
      <w:r>
        <w:rPr>
          <w:rFonts w:hint="eastAsia" w:ascii="仿宋_GB2312" w:hAnsi="仿宋_GB2312" w:eastAsia="仿宋_GB2312" w:cs="仿宋_GB2312"/>
          <w:i w:val="0"/>
          <w:iCs w:val="0"/>
          <w:caps w:val="0"/>
          <w:color w:val="auto"/>
          <w:spacing w:val="0"/>
          <w:sz w:val="28"/>
          <w:szCs w:val="27"/>
          <w:highlight w:val="none"/>
          <w:u w:val="none"/>
          <w:lang w:val="en-US" w:eastAsia="zh-CN"/>
        </w:rPr>
        <w:t>前期</w:t>
      </w:r>
      <w:r>
        <w:rPr>
          <w:rFonts w:hint="default" w:ascii="仿宋_GB2312" w:hAnsi="仿宋_GB2312" w:eastAsia="仿宋_GB2312" w:cs="仿宋_GB2312"/>
          <w:i w:val="0"/>
          <w:iCs w:val="0"/>
          <w:caps w:val="0"/>
          <w:color w:val="auto"/>
          <w:spacing w:val="0"/>
          <w:sz w:val="28"/>
          <w:szCs w:val="27"/>
          <w:highlight w:val="none"/>
          <w:u w:val="none"/>
          <w:lang w:val="en-US" w:eastAsia="zh-CN"/>
        </w:rPr>
        <w:t>准备、</w:t>
      </w:r>
      <w:r>
        <w:rPr>
          <w:rFonts w:hint="eastAsia" w:ascii="仿宋_GB2312" w:hAnsi="仿宋_GB2312" w:eastAsia="仿宋_GB2312" w:cs="仿宋_GB2312"/>
          <w:i w:val="0"/>
          <w:iCs w:val="0"/>
          <w:caps w:val="0"/>
          <w:color w:val="auto"/>
          <w:spacing w:val="0"/>
          <w:sz w:val="28"/>
          <w:szCs w:val="27"/>
          <w:highlight w:val="none"/>
          <w:u w:val="none"/>
          <w:lang w:val="en-US" w:eastAsia="zh-CN"/>
        </w:rPr>
        <w:t>现场</w:t>
      </w:r>
      <w:r>
        <w:rPr>
          <w:rFonts w:hint="default" w:ascii="仿宋_GB2312" w:hAnsi="仿宋_GB2312" w:eastAsia="仿宋_GB2312" w:cs="仿宋_GB2312"/>
          <w:i w:val="0"/>
          <w:iCs w:val="0"/>
          <w:caps w:val="0"/>
          <w:color w:val="auto"/>
          <w:spacing w:val="0"/>
          <w:sz w:val="28"/>
          <w:szCs w:val="27"/>
          <w:highlight w:val="none"/>
          <w:u w:val="none"/>
          <w:lang w:val="en-US" w:eastAsia="zh-CN"/>
        </w:rPr>
        <w:t>实施、报告撰写三个阶段。</w:t>
      </w:r>
    </w:p>
    <w:p>
      <w:pPr>
        <w:pStyle w:val="6"/>
        <w:bidi w:val="0"/>
        <w:rPr>
          <w:rFonts w:hint="default"/>
          <w:lang w:val="en-US" w:eastAsia="zh-CN"/>
        </w:rPr>
      </w:pPr>
      <w:r>
        <w:rPr>
          <w:rFonts w:hint="default"/>
          <w:lang w:val="en-US" w:eastAsia="zh-CN"/>
        </w:rPr>
        <w:t>1.评价准备阶段</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default" w:ascii="仿宋_GB2312" w:hAnsi="仿宋_GB2312" w:eastAsia="仿宋_GB2312" w:cs="仿宋_GB2312"/>
          <w:i w:val="0"/>
          <w:iCs w:val="0"/>
          <w:caps w:val="0"/>
          <w:color w:val="auto"/>
          <w:spacing w:val="0"/>
          <w:sz w:val="28"/>
          <w:szCs w:val="27"/>
          <w:highlight w:val="none"/>
          <w:u w:val="none"/>
          <w:lang w:val="en-US" w:eastAsia="zh-CN"/>
        </w:rPr>
        <w:t>根据山西省《省级项目支出绩效评价管理办法》（晋财绩〔2020〕17号）文件精神和</w:t>
      </w:r>
      <w:r>
        <w:rPr>
          <w:rFonts w:hint="eastAsia" w:ascii="仿宋_GB2312" w:hAnsi="仿宋_GB2312" w:eastAsia="仿宋_GB2312" w:cs="仿宋_GB2312"/>
          <w:i w:val="0"/>
          <w:iCs w:val="0"/>
          <w:caps w:val="0"/>
          <w:color w:val="auto"/>
          <w:spacing w:val="0"/>
          <w:sz w:val="28"/>
          <w:szCs w:val="27"/>
          <w:highlight w:val="none"/>
          <w:u w:val="none"/>
          <w:lang w:val="en-US" w:eastAsia="zh-CN"/>
        </w:rPr>
        <w:t>《关于开展2020年度项目支出绩效评价工作的通知》（宁财字〔2021〕13号）</w:t>
      </w:r>
      <w:r>
        <w:rPr>
          <w:rFonts w:hint="default" w:ascii="仿宋_GB2312" w:hAnsi="仿宋_GB2312" w:eastAsia="仿宋_GB2312" w:cs="仿宋_GB2312"/>
          <w:i w:val="0"/>
          <w:iCs w:val="0"/>
          <w:caps w:val="0"/>
          <w:color w:val="auto"/>
          <w:spacing w:val="0"/>
          <w:sz w:val="28"/>
          <w:szCs w:val="27"/>
          <w:highlight w:val="none"/>
          <w:u w:val="none"/>
          <w:lang w:val="en-US" w:eastAsia="zh-CN"/>
        </w:rPr>
        <w:t>总体要求，明确评价目的和工作思路，联系</w:t>
      </w:r>
      <w:r>
        <w:rPr>
          <w:rFonts w:hint="eastAsia" w:ascii="仿宋_GB2312" w:hAnsi="仿宋_GB2312" w:eastAsia="仿宋_GB2312" w:cs="仿宋_GB2312"/>
          <w:i w:val="0"/>
          <w:iCs w:val="0"/>
          <w:caps w:val="0"/>
          <w:color w:val="auto"/>
          <w:spacing w:val="0"/>
          <w:sz w:val="28"/>
          <w:szCs w:val="27"/>
          <w:highlight w:val="none"/>
          <w:u w:val="none"/>
          <w:lang w:val="en-US" w:eastAsia="zh-CN"/>
        </w:rPr>
        <w:t>主管单位、实施单位</w:t>
      </w:r>
      <w:r>
        <w:rPr>
          <w:rFonts w:hint="default" w:ascii="仿宋_GB2312" w:hAnsi="仿宋_GB2312" w:eastAsia="仿宋_GB2312" w:cs="仿宋_GB2312"/>
          <w:i w:val="0"/>
          <w:iCs w:val="0"/>
          <w:caps w:val="0"/>
          <w:color w:val="auto"/>
          <w:spacing w:val="0"/>
          <w:sz w:val="28"/>
          <w:szCs w:val="27"/>
          <w:highlight w:val="none"/>
          <w:u w:val="none"/>
          <w:lang w:val="en-US" w:eastAsia="zh-CN"/>
        </w:rPr>
        <w:t>开展调研，收集相关政策文件和信息资料，编制绩效评价指标体系、评分标准和评价等级。</w:t>
      </w:r>
    </w:p>
    <w:p>
      <w:pPr>
        <w:pStyle w:val="6"/>
        <w:bidi w:val="0"/>
        <w:rPr>
          <w:rFonts w:hint="default"/>
          <w:lang w:val="en-US" w:eastAsia="zh-CN"/>
        </w:rPr>
      </w:pPr>
      <w:r>
        <w:rPr>
          <w:rFonts w:hint="default"/>
          <w:lang w:val="en-US" w:eastAsia="zh-CN"/>
        </w:rPr>
        <w:t>2.组织实施阶段</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eastAsia" w:ascii="仿宋_GB2312" w:hAnsi="仿宋_GB2312" w:eastAsia="仿宋_GB2312" w:cs="仿宋_GB2312"/>
          <w:i w:val="0"/>
          <w:iCs w:val="0"/>
          <w:caps w:val="0"/>
          <w:color w:val="auto"/>
          <w:spacing w:val="0"/>
          <w:sz w:val="28"/>
          <w:szCs w:val="27"/>
          <w:highlight w:val="none"/>
          <w:u w:val="none"/>
          <w:lang w:val="en-US" w:eastAsia="zh-CN"/>
        </w:rPr>
      </w:pPr>
      <w:bookmarkStart w:id="38" w:name="_Toc32670"/>
      <w:r>
        <w:rPr>
          <w:rFonts w:hint="default" w:ascii="仿宋_GB2312" w:hAnsi="仿宋_GB2312" w:eastAsia="仿宋_GB2312" w:cs="仿宋_GB2312"/>
          <w:i w:val="0"/>
          <w:iCs w:val="0"/>
          <w:caps w:val="0"/>
          <w:color w:val="auto"/>
          <w:spacing w:val="0"/>
          <w:sz w:val="28"/>
          <w:szCs w:val="27"/>
          <w:highlight w:val="none"/>
          <w:u w:val="none"/>
          <w:lang w:val="en-US" w:eastAsia="zh-CN"/>
        </w:rPr>
        <w:t>（1）</w:t>
      </w:r>
      <w:r>
        <w:rPr>
          <w:rFonts w:hint="eastAsia" w:ascii="仿宋_GB2312" w:hAnsi="仿宋_GB2312" w:eastAsia="仿宋_GB2312" w:cs="仿宋_GB2312"/>
          <w:i w:val="0"/>
          <w:iCs w:val="0"/>
          <w:caps w:val="0"/>
          <w:color w:val="auto"/>
          <w:spacing w:val="0"/>
          <w:sz w:val="28"/>
          <w:szCs w:val="27"/>
          <w:highlight w:val="none"/>
          <w:u w:val="none"/>
          <w:lang w:val="en-US" w:eastAsia="zh-CN"/>
        </w:rPr>
        <w:t>围绕评价指标补充</w:t>
      </w:r>
      <w:r>
        <w:rPr>
          <w:rFonts w:hint="default" w:ascii="仿宋_GB2312" w:hAnsi="仿宋_GB2312" w:eastAsia="仿宋_GB2312" w:cs="仿宋_GB2312"/>
          <w:i w:val="0"/>
          <w:iCs w:val="0"/>
          <w:caps w:val="0"/>
          <w:color w:val="auto"/>
          <w:spacing w:val="0"/>
          <w:sz w:val="28"/>
          <w:szCs w:val="27"/>
          <w:highlight w:val="none"/>
          <w:u w:val="none"/>
          <w:lang w:val="en-US" w:eastAsia="zh-CN"/>
        </w:rPr>
        <w:t>收集</w:t>
      </w:r>
      <w:r>
        <w:rPr>
          <w:rFonts w:hint="eastAsia" w:ascii="仿宋_GB2312" w:hAnsi="仿宋_GB2312" w:eastAsia="仿宋_GB2312" w:cs="仿宋_GB2312"/>
          <w:i w:val="0"/>
          <w:iCs w:val="0"/>
          <w:caps w:val="0"/>
          <w:color w:val="auto"/>
          <w:spacing w:val="0"/>
          <w:sz w:val="28"/>
          <w:szCs w:val="27"/>
          <w:highlight w:val="none"/>
          <w:u w:val="none"/>
          <w:lang w:val="en-US" w:eastAsia="zh-CN"/>
        </w:rPr>
        <w:t>相关</w:t>
      </w:r>
      <w:r>
        <w:rPr>
          <w:rFonts w:hint="default" w:ascii="仿宋_GB2312" w:hAnsi="仿宋_GB2312" w:eastAsia="仿宋_GB2312" w:cs="仿宋_GB2312"/>
          <w:i w:val="0"/>
          <w:iCs w:val="0"/>
          <w:caps w:val="0"/>
          <w:color w:val="auto"/>
          <w:spacing w:val="0"/>
          <w:sz w:val="28"/>
          <w:szCs w:val="27"/>
          <w:highlight w:val="none"/>
          <w:u w:val="none"/>
          <w:lang w:val="en-US" w:eastAsia="zh-CN"/>
        </w:rPr>
        <w:t>资料</w:t>
      </w:r>
      <w:r>
        <w:rPr>
          <w:rFonts w:hint="eastAsia" w:ascii="仿宋_GB2312" w:hAnsi="仿宋_GB2312" w:eastAsia="仿宋_GB2312" w:cs="仿宋_GB2312"/>
          <w:i w:val="0"/>
          <w:iCs w:val="0"/>
          <w:caps w:val="0"/>
          <w:color w:val="auto"/>
          <w:spacing w:val="0"/>
          <w:sz w:val="28"/>
          <w:szCs w:val="27"/>
          <w:highlight w:val="none"/>
          <w:u w:val="none"/>
          <w:lang w:val="en-US" w:eastAsia="zh-CN"/>
        </w:rPr>
        <w:t>；</w:t>
      </w:r>
      <w:bookmarkEnd w:id="38"/>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39" w:name="_Toc2125"/>
      <w:r>
        <w:rPr>
          <w:rFonts w:hint="default" w:ascii="仿宋_GB2312" w:hAnsi="仿宋_GB2312" w:eastAsia="仿宋_GB2312" w:cs="仿宋_GB2312"/>
          <w:i w:val="0"/>
          <w:iCs w:val="0"/>
          <w:caps w:val="0"/>
          <w:color w:val="auto"/>
          <w:spacing w:val="0"/>
          <w:sz w:val="28"/>
          <w:szCs w:val="27"/>
          <w:highlight w:val="none"/>
          <w:u w:val="none"/>
          <w:lang w:val="en-US" w:eastAsia="zh-CN"/>
        </w:rPr>
        <w:t>（2）现场勘查。根据评价对象的特点和项目单位提供的数据资料，现场勘查项目建设情况及运营情况。</w:t>
      </w:r>
      <w:bookmarkEnd w:id="39"/>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40" w:name="_Toc8827"/>
      <w:r>
        <w:rPr>
          <w:rFonts w:hint="eastAsia" w:ascii="仿宋_GB2312" w:hAnsi="仿宋_GB2312" w:eastAsia="仿宋_GB2312" w:cs="仿宋_GB2312"/>
          <w:i w:val="0"/>
          <w:iCs w:val="0"/>
          <w:caps w:val="0"/>
          <w:color w:val="auto"/>
          <w:spacing w:val="0"/>
          <w:sz w:val="28"/>
          <w:szCs w:val="27"/>
          <w:highlight w:val="none"/>
          <w:u w:val="none"/>
          <w:lang w:val="en-US" w:eastAsia="zh-CN"/>
        </w:rPr>
        <w:t>（3）满意度调查。向项目受益群体发放一定数量的满意度调查问卷，汇总受益群体对项目的意见及建议，形成满意度调查问卷分析。</w:t>
      </w:r>
      <w:bookmarkEnd w:id="40"/>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41" w:name="_Toc6703"/>
      <w:r>
        <w:rPr>
          <w:rFonts w:hint="default" w:ascii="仿宋_GB2312" w:hAnsi="仿宋_GB2312" w:eastAsia="仿宋_GB2312" w:cs="仿宋_GB2312"/>
          <w:i w:val="0"/>
          <w:iCs w:val="0"/>
          <w:caps w:val="0"/>
          <w:color w:val="auto"/>
          <w:spacing w:val="0"/>
          <w:sz w:val="28"/>
          <w:szCs w:val="27"/>
          <w:highlight w:val="none"/>
          <w:u w:val="none"/>
          <w:lang w:val="en-US" w:eastAsia="zh-CN"/>
        </w:rPr>
        <w:t>（</w:t>
      </w:r>
      <w:r>
        <w:rPr>
          <w:rFonts w:hint="eastAsia" w:ascii="仿宋_GB2312" w:hAnsi="仿宋_GB2312" w:eastAsia="仿宋_GB2312" w:cs="仿宋_GB2312"/>
          <w:i w:val="0"/>
          <w:iCs w:val="0"/>
          <w:caps w:val="0"/>
          <w:color w:val="auto"/>
          <w:spacing w:val="0"/>
          <w:sz w:val="28"/>
          <w:szCs w:val="27"/>
          <w:highlight w:val="none"/>
          <w:u w:val="none"/>
          <w:lang w:val="en-US" w:eastAsia="zh-CN"/>
        </w:rPr>
        <w:t>4</w:t>
      </w:r>
      <w:r>
        <w:rPr>
          <w:rFonts w:hint="default" w:ascii="仿宋_GB2312" w:hAnsi="仿宋_GB2312" w:eastAsia="仿宋_GB2312" w:cs="仿宋_GB2312"/>
          <w:i w:val="0"/>
          <w:iCs w:val="0"/>
          <w:caps w:val="0"/>
          <w:color w:val="auto"/>
          <w:spacing w:val="0"/>
          <w:sz w:val="28"/>
          <w:szCs w:val="27"/>
          <w:highlight w:val="none"/>
          <w:u w:val="none"/>
          <w:lang w:val="en-US" w:eastAsia="zh-CN"/>
        </w:rPr>
        <w:t>）综合评价。根据评价工作方案确定的评价指标、评价权重、评价标准和评价方法，对评价对象的情况进行全面的定量定性分析和综合评价。</w:t>
      </w:r>
      <w:bookmarkEnd w:id="41"/>
    </w:p>
    <w:p>
      <w:pPr>
        <w:pStyle w:val="6"/>
        <w:bidi w:val="0"/>
        <w:rPr>
          <w:rFonts w:hint="default"/>
          <w:lang w:val="en-US" w:eastAsia="zh-CN"/>
        </w:rPr>
      </w:pPr>
      <w:bookmarkStart w:id="42" w:name="_Toc30607"/>
      <w:r>
        <w:rPr>
          <w:rFonts w:hint="default"/>
          <w:lang w:val="en-US" w:eastAsia="zh-CN"/>
        </w:rPr>
        <w:t>3.报告撰写阶段</w:t>
      </w:r>
      <w:bookmarkEnd w:id="42"/>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bookmarkStart w:id="43" w:name="_Toc3178"/>
      <w:r>
        <w:rPr>
          <w:rFonts w:hint="default" w:ascii="仿宋_GB2312" w:hAnsi="仿宋_GB2312" w:eastAsia="仿宋_GB2312" w:cs="仿宋_GB2312"/>
          <w:i w:val="0"/>
          <w:iCs w:val="0"/>
          <w:caps w:val="0"/>
          <w:color w:val="auto"/>
          <w:spacing w:val="0"/>
          <w:sz w:val="28"/>
          <w:szCs w:val="27"/>
          <w:highlight w:val="none"/>
          <w:u w:val="none"/>
          <w:lang w:val="en-US" w:eastAsia="zh-CN"/>
        </w:rPr>
        <w:t>绩效评价组根据被评价单位的绩效情况，按要求撰写评价报告，并根据专家意见进一步完善、修改绩效评价报告</w:t>
      </w:r>
      <w:r>
        <w:rPr>
          <w:rFonts w:hint="default" w:ascii="仿宋_GB2312" w:hAnsi="仿宋_GB2312" w:eastAsia="仿宋_GB2312" w:cs="仿宋_GB2312"/>
          <w:i w:val="0"/>
          <w:iCs w:val="0"/>
          <w:caps w:val="0"/>
          <w:color w:val="000000"/>
          <w:spacing w:val="0"/>
          <w:sz w:val="28"/>
          <w:szCs w:val="27"/>
          <w:highlight w:val="none"/>
          <w:lang w:val="en-US" w:eastAsia="zh-CN"/>
        </w:rPr>
        <w:t>，形成</w:t>
      </w:r>
      <w:r>
        <w:rPr>
          <w:rFonts w:hint="eastAsia" w:ascii="仿宋_GB2312" w:hAnsi="仿宋_GB2312" w:eastAsia="仿宋_GB2312" w:cs="仿宋_GB2312"/>
          <w:i w:val="0"/>
          <w:iCs w:val="0"/>
          <w:caps w:val="0"/>
          <w:color w:val="000000"/>
          <w:spacing w:val="0"/>
          <w:sz w:val="28"/>
          <w:szCs w:val="27"/>
          <w:highlight w:val="none"/>
          <w:lang w:val="en-US" w:eastAsia="zh-CN"/>
        </w:rPr>
        <w:t>报告提交报送委托评价单位。</w:t>
      </w:r>
      <w:bookmarkEnd w:id="43"/>
    </w:p>
    <w:bookmarkEnd w:id="35"/>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0"/>
        <w:rPr>
          <w:rFonts w:hint="eastAsia" w:ascii="黑体" w:hAnsi="黑体" w:eastAsia="黑体" w:cs="黑体"/>
          <w:i w:val="0"/>
          <w:iCs w:val="0"/>
          <w:caps w:val="0"/>
          <w:color w:val="000000"/>
          <w:spacing w:val="0"/>
          <w:sz w:val="28"/>
          <w:szCs w:val="27"/>
          <w:highlight w:val="none"/>
        </w:rPr>
      </w:pPr>
      <w:bookmarkStart w:id="44" w:name="_Toc6035"/>
      <w:bookmarkStart w:id="45" w:name="_Toc23276"/>
      <w:r>
        <w:rPr>
          <w:rFonts w:hint="eastAsia" w:ascii="黑体" w:hAnsi="黑体" w:eastAsia="黑体" w:cs="黑体"/>
          <w:i w:val="0"/>
          <w:iCs w:val="0"/>
          <w:caps w:val="0"/>
          <w:color w:val="000000"/>
          <w:spacing w:val="0"/>
          <w:sz w:val="28"/>
          <w:szCs w:val="27"/>
          <w:highlight w:val="none"/>
        </w:rPr>
        <w:t>三、综合评价情况及评价结论</w:t>
      </w:r>
      <w:bookmarkEnd w:id="44"/>
      <w:bookmarkEnd w:id="45"/>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46" w:name="_Toc21998"/>
      <w:bookmarkStart w:id="47" w:name="_Toc26329"/>
      <w:r>
        <w:rPr>
          <w:rFonts w:hint="eastAsia" w:ascii="楷体_GB2312" w:hAnsi="楷体_GB2312" w:eastAsia="楷体_GB2312" w:cs="楷体_GB2312"/>
          <w:i w:val="0"/>
          <w:iCs w:val="0"/>
          <w:caps w:val="0"/>
          <w:color w:val="000000"/>
          <w:spacing w:val="0"/>
          <w:sz w:val="28"/>
          <w:szCs w:val="27"/>
          <w:highlight w:val="none"/>
          <w:lang w:eastAsia="zh-CN"/>
        </w:rPr>
        <w:t>（</w:t>
      </w:r>
      <w:r>
        <w:rPr>
          <w:rFonts w:hint="eastAsia" w:ascii="楷体_GB2312" w:hAnsi="楷体_GB2312" w:eastAsia="楷体_GB2312" w:cs="楷体_GB2312"/>
          <w:i w:val="0"/>
          <w:iCs w:val="0"/>
          <w:caps w:val="0"/>
          <w:color w:val="000000"/>
          <w:spacing w:val="0"/>
          <w:sz w:val="28"/>
          <w:szCs w:val="27"/>
          <w:highlight w:val="none"/>
          <w:lang w:val="en-US" w:eastAsia="zh-CN"/>
        </w:rPr>
        <w:t>一</w:t>
      </w:r>
      <w:r>
        <w:rPr>
          <w:rFonts w:hint="eastAsia" w:ascii="楷体_GB2312" w:hAnsi="楷体_GB2312" w:eastAsia="楷体_GB2312" w:cs="楷体_GB2312"/>
          <w:i w:val="0"/>
          <w:iCs w:val="0"/>
          <w:caps w:val="0"/>
          <w:color w:val="000000"/>
          <w:spacing w:val="0"/>
          <w:sz w:val="28"/>
          <w:szCs w:val="27"/>
          <w:highlight w:val="none"/>
          <w:lang w:eastAsia="zh-CN"/>
        </w:rPr>
        <w:t>）</w:t>
      </w:r>
      <w:r>
        <w:rPr>
          <w:rFonts w:hint="eastAsia" w:ascii="楷体_GB2312" w:hAnsi="楷体_GB2312" w:eastAsia="楷体_GB2312" w:cs="楷体_GB2312"/>
          <w:i w:val="0"/>
          <w:iCs w:val="0"/>
          <w:caps w:val="0"/>
          <w:color w:val="000000"/>
          <w:spacing w:val="0"/>
          <w:sz w:val="28"/>
          <w:szCs w:val="27"/>
          <w:highlight w:val="none"/>
          <w:lang w:val="en-US" w:eastAsia="zh-CN"/>
        </w:rPr>
        <w:t>综合评价情况</w:t>
      </w:r>
      <w:bookmarkEnd w:id="46"/>
      <w:bookmarkEnd w:id="47"/>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宁武县</w:t>
      </w:r>
      <w:r>
        <w:rPr>
          <w:rFonts w:hint="eastAsia" w:cs="仿宋_GB2312"/>
          <w:kern w:val="2"/>
          <w:sz w:val="28"/>
          <w:szCs w:val="28"/>
          <w:lang w:val="en-US" w:eastAsia="zh-CN" w:bidi="ar-SA"/>
        </w:rPr>
        <w:t>水利水保局恢河干流生态植被建设</w:t>
      </w:r>
      <w:r>
        <w:rPr>
          <w:rFonts w:hint="eastAsia" w:ascii="仿宋_GB2312" w:hAnsi="仿宋_GB2312" w:eastAsia="仿宋_GB2312" w:cs="仿宋_GB2312"/>
          <w:kern w:val="2"/>
          <w:sz w:val="28"/>
          <w:szCs w:val="28"/>
          <w:lang w:val="en-US" w:eastAsia="zh-CN" w:bidi="ar-SA"/>
        </w:rPr>
        <w:t>项目得分</w:t>
      </w:r>
      <w:r>
        <w:rPr>
          <w:rFonts w:hint="eastAsia" w:cs="仿宋_GB2312"/>
          <w:kern w:val="2"/>
          <w:sz w:val="28"/>
          <w:szCs w:val="28"/>
          <w:lang w:val="en-US" w:eastAsia="zh-CN" w:bidi="ar-SA"/>
        </w:rPr>
        <w:t>84.54</w:t>
      </w:r>
      <w:r>
        <w:rPr>
          <w:rFonts w:hint="eastAsia" w:ascii="仿宋_GB2312" w:hAnsi="仿宋_GB2312" w:eastAsia="仿宋_GB2312" w:cs="仿宋_GB2312"/>
          <w:kern w:val="2"/>
          <w:sz w:val="28"/>
          <w:szCs w:val="28"/>
          <w:lang w:val="en-US" w:eastAsia="zh-CN" w:bidi="ar-SA"/>
        </w:rPr>
        <w:t>分，评价等级为“</w:t>
      </w:r>
      <w:r>
        <w:rPr>
          <w:rFonts w:hint="eastAsia" w:cs="仿宋_GB2312"/>
          <w:kern w:val="2"/>
          <w:sz w:val="28"/>
          <w:szCs w:val="28"/>
          <w:lang w:val="en-US" w:eastAsia="zh-CN" w:bidi="ar-SA"/>
        </w:rPr>
        <w:t>良</w:t>
      </w:r>
      <w:r>
        <w:rPr>
          <w:rFonts w:hint="eastAsia" w:ascii="仿宋_GB2312" w:hAnsi="仿宋_GB2312" w:eastAsia="仿宋_GB2312" w:cs="仿宋_GB2312"/>
          <w:kern w:val="2"/>
          <w:sz w:val="28"/>
          <w:szCs w:val="28"/>
          <w:lang w:val="en-US" w:eastAsia="zh-CN" w:bidi="ar-SA"/>
        </w:rPr>
        <w:t>”</w:t>
      </w:r>
      <w:r>
        <w:rPr>
          <w:rFonts w:hint="eastAsia"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具体项目得分及评价等价如下</w:t>
      </w:r>
      <w:r>
        <w:rPr>
          <w:rFonts w:hint="eastAsia" w:cs="仿宋_GB2312"/>
          <w:kern w:val="2"/>
          <w:sz w:val="28"/>
          <w:szCs w:val="28"/>
          <w:lang w:val="en-US" w:eastAsia="zh-CN" w:bidi="ar-SA"/>
        </w:rPr>
        <w:t>表3-1</w:t>
      </w:r>
      <w:r>
        <w:rPr>
          <w:rFonts w:hint="eastAsia" w:ascii="仿宋_GB2312" w:hAnsi="仿宋_GB2312" w:eastAsia="仿宋_GB2312" w:cs="仿宋_GB2312"/>
          <w:kern w:val="2"/>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jc w:val="center"/>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表3-1 项目得分明细表</w:t>
      </w:r>
    </w:p>
    <w:tbl>
      <w:tblPr>
        <w:tblStyle w:val="1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uble" w:color="auto" w:sz="4" w:space="0"/>
              <w:left w:val="nil"/>
              <w:bottom w:val="dotted" w:color="auto" w:sz="4" w:space="0"/>
              <w:right w:val="dotted" w:color="auto" w:sz="4" w:space="0"/>
            </w:tcBorders>
            <w:shd w:val="clear" w:color="auto" w:fill="BEBEBE" w:themeFill="background1" w:themeFillShade="BF"/>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一级指标</w:t>
            </w:r>
          </w:p>
        </w:tc>
        <w:tc>
          <w:tcPr>
            <w:tcW w:w="2293" w:type="dxa"/>
            <w:tcBorders>
              <w:top w:val="double" w:color="auto" w:sz="4" w:space="0"/>
              <w:left w:val="dotted" w:color="auto" w:sz="4" w:space="0"/>
              <w:bottom w:val="dotted" w:color="auto" w:sz="4" w:space="0"/>
              <w:right w:val="dotted" w:color="auto" w:sz="4" w:space="0"/>
            </w:tcBorders>
            <w:shd w:val="clear" w:color="auto" w:fill="BEBEBE" w:themeFill="background1" w:themeFillShade="BF"/>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权重分值</w:t>
            </w:r>
          </w:p>
        </w:tc>
        <w:tc>
          <w:tcPr>
            <w:tcW w:w="2294" w:type="dxa"/>
            <w:tcBorders>
              <w:top w:val="double" w:color="auto" w:sz="4" w:space="0"/>
              <w:left w:val="dotted" w:color="auto" w:sz="4" w:space="0"/>
              <w:bottom w:val="dotted" w:color="auto" w:sz="4" w:space="0"/>
              <w:right w:val="dotted" w:color="auto" w:sz="4" w:space="0"/>
            </w:tcBorders>
            <w:shd w:val="clear" w:color="auto" w:fill="BEBEBE" w:themeFill="background1" w:themeFillShade="BF"/>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实际得分</w:t>
            </w:r>
          </w:p>
        </w:tc>
        <w:tc>
          <w:tcPr>
            <w:tcW w:w="2294" w:type="dxa"/>
            <w:tcBorders>
              <w:top w:val="double" w:color="auto" w:sz="4" w:space="0"/>
              <w:left w:val="dotted" w:color="auto" w:sz="4" w:space="0"/>
              <w:bottom w:val="dotted" w:color="auto" w:sz="4" w:space="0"/>
              <w:right w:val="nil"/>
            </w:tcBorders>
            <w:shd w:val="clear" w:color="auto" w:fill="BEBEBE" w:themeFill="background1" w:themeFillShade="BF"/>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tted" w:color="auto" w:sz="4" w:space="0"/>
              <w:left w:val="nil"/>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A决策</w:t>
            </w:r>
          </w:p>
        </w:tc>
        <w:tc>
          <w:tcPr>
            <w:tcW w:w="2293"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20</w:t>
            </w:r>
          </w:p>
        </w:tc>
        <w:tc>
          <w:tcPr>
            <w:tcW w:w="2294"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20</w:t>
            </w:r>
          </w:p>
        </w:tc>
        <w:tc>
          <w:tcPr>
            <w:tcW w:w="2294" w:type="dxa"/>
            <w:tcBorders>
              <w:top w:val="dotted" w:color="auto" w:sz="4" w:space="0"/>
              <w:left w:val="dotted" w:color="auto" w:sz="4" w:space="0"/>
              <w:bottom w:val="dotted" w:color="auto" w:sz="4" w:space="0"/>
              <w:right w:val="nil"/>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tted" w:color="auto" w:sz="4" w:space="0"/>
              <w:left w:val="nil"/>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B过程</w:t>
            </w:r>
          </w:p>
        </w:tc>
        <w:tc>
          <w:tcPr>
            <w:tcW w:w="2293"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25</w:t>
            </w:r>
          </w:p>
        </w:tc>
        <w:tc>
          <w:tcPr>
            <w:tcW w:w="2294"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17</w:t>
            </w:r>
          </w:p>
        </w:tc>
        <w:tc>
          <w:tcPr>
            <w:tcW w:w="2294" w:type="dxa"/>
            <w:tcBorders>
              <w:top w:val="dotted" w:color="auto" w:sz="4" w:space="0"/>
              <w:left w:val="dotted" w:color="auto" w:sz="4" w:space="0"/>
              <w:bottom w:val="dotted" w:color="auto" w:sz="4" w:space="0"/>
              <w:right w:val="nil"/>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tted" w:color="auto" w:sz="4" w:space="0"/>
              <w:left w:val="nil"/>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C产出</w:t>
            </w:r>
          </w:p>
        </w:tc>
        <w:tc>
          <w:tcPr>
            <w:tcW w:w="2293"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30</w:t>
            </w:r>
          </w:p>
        </w:tc>
        <w:tc>
          <w:tcPr>
            <w:tcW w:w="2294"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center"/>
              <w:textAlignment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lang w:val="en-US" w:eastAsia="zh-CN" w:bidi="zh-CN"/>
              </w:rPr>
              <w:fldChar w:fldCharType="begin"/>
            </w:r>
            <w:r>
              <w:rPr>
                <w:rFonts w:hint="eastAsia" w:ascii="宋体" w:hAnsi="宋体" w:eastAsia="宋体" w:cs="宋体"/>
                <w:kern w:val="2"/>
                <w:sz w:val="24"/>
                <w:szCs w:val="24"/>
                <w:lang w:val="en-US" w:eastAsia="zh-CN" w:bidi="zh-CN"/>
              </w:rPr>
              <w:instrText xml:space="preserve"> = sum(F2:F5) \* MERGEFORMAT </w:instrText>
            </w:r>
            <w:r>
              <w:rPr>
                <w:rFonts w:hint="eastAsia" w:ascii="宋体" w:hAnsi="宋体" w:eastAsia="宋体" w:cs="宋体"/>
                <w:kern w:val="2"/>
                <w:sz w:val="24"/>
                <w:szCs w:val="24"/>
                <w:lang w:val="en-US" w:eastAsia="zh-CN" w:bidi="zh-CN"/>
              </w:rPr>
              <w:fldChar w:fldCharType="separate"/>
            </w:r>
            <w:r>
              <w:rPr>
                <w:rFonts w:hint="eastAsia" w:ascii="宋体" w:hAnsi="宋体" w:eastAsia="宋体" w:cs="宋体"/>
                <w:kern w:val="2"/>
                <w:sz w:val="24"/>
                <w:szCs w:val="24"/>
                <w:lang w:val="en-US" w:eastAsia="zh-CN" w:bidi="zh-CN"/>
              </w:rPr>
              <w:t>20.35</w:t>
            </w:r>
            <w:r>
              <w:rPr>
                <w:rFonts w:hint="eastAsia" w:ascii="宋体" w:hAnsi="宋体" w:eastAsia="宋体" w:cs="宋体"/>
                <w:kern w:val="2"/>
                <w:sz w:val="24"/>
                <w:szCs w:val="24"/>
                <w:lang w:val="en-US" w:eastAsia="zh-CN" w:bidi="zh-CN"/>
              </w:rPr>
              <w:fldChar w:fldCharType="end"/>
            </w:r>
          </w:p>
        </w:tc>
        <w:tc>
          <w:tcPr>
            <w:tcW w:w="2294" w:type="dxa"/>
            <w:tcBorders>
              <w:top w:val="dotted" w:color="auto" w:sz="4" w:space="0"/>
              <w:left w:val="dotted" w:color="auto" w:sz="4" w:space="0"/>
              <w:bottom w:val="dotted" w:color="auto" w:sz="4" w:space="0"/>
              <w:right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lang w:val="en-US" w:eastAsia="zh-CN" w:bidi="zh-CN"/>
              </w:rPr>
              <w:t>67.84%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tted" w:color="auto" w:sz="4" w:space="0"/>
              <w:left w:val="nil"/>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D效益</w:t>
            </w:r>
          </w:p>
        </w:tc>
        <w:tc>
          <w:tcPr>
            <w:tcW w:w="2293" w:type="dxa"/>
            <w:tcBorders>
              <w:top w:val="dotted" w:color="auto" w:sz="4" w:space="0"/>
              <w:left w:val="dotted" w:color="auto" w:sz="4" w:space="0"/>
              <w:bottom w:val="dotted"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30</w:t>
            </w:r>
          </w:p>
        </w:tc>
        <w:tc>
          <w:tcPr>
            <w:tcW w:w="2294" w:type="dxa"/>
            <w:tcBorders>
              <w:top w:val="dotted" w:color="auto" w:sz="4" w:space="0"/>
              <w:left w:val="dotted" w:color="auto" w:sz="4" w:space="0"/>
              <w:bottom w:val="dotted" w:color="auto" w:sz="4" w:space="0"/>
              <w:right w:val="dotted" w:color="auto" w:sz="4" w:space="0"/>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sum(F2:F5) \* MERGEFORMAT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27.19</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w:t>
            </w:r>
          </w:p>
        </w:tc>
        <w:tc>
          <w:tcPr>
            <w:tcW w:w="2294" w:type="dxa"/>
            <w:tcBorders>
              <w:top w:val="dotted" w:color="auto" w:sz="4" w:space="0"/>
              <w:left w:val="dotted" w:color="auto" w:sz="4" w:space="0"/>
              <w:bottom w:val="dotted" w:color="auto" w:sz="4" w:space="0"/>
              <w:right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93" w:type="dxa"/>
            <w:tcBorders>
              <w:top w:val="dotted" w:color="auto" w:sz="4" w:space="0"/>
              <w:left w:val="nil"/>
              <w:bottom w:val="double"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合计</w:t>
            </w:r>
          </w:p>
        </w:tc>
        <w:tc>
          <w:tcPr>
            <w:tcW w:w="2293" w:type="dxa"/>
            <w:tcBorders>
              <w:top w:val="dotted" w:color="auto" w:sz="4" w:space="0"/>
              <w:left w:val="dotted" w:color="auto" w:sz="4" w:space="0"/>
              <w:bottom w:val="double" w:color="auto" w:sz="4" w:space="0"/>
              <w:right w:val="dotted" w:color="auto" w:sz="4" w:space="0"/>
            </w:tcBorders>
          </w:tcPr>
          <w:p>
            <w:pPr>
              <w:pStyle w:val="2"/>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fldChar w:fldCharType="begin"/>
            </w:r>
            <w:r>
              <w:rPr>
                <w:rFonts w:hint="eastAsia" w:ascii="宋体" w:hAnsi="宋体" w:eastAsia="宋体" w:cs="宋体"/>
                <w:kern w:val="2"/>
                <w:sz w:val="24"/>
                <w:szCs w:val="24"/>
                <w:vertAlign w:val="baseline"/>
                <w:lang w:val="en-US" w:eastAsia="zh-CN" w:bidi="ar-SA"/>
              </w:rPr>
              <w:instrText xml:space="preserve"> = sum(B2:B5) \* MERGEFORMAT </w:instrText>
            </w:r>
            <w:r>
              <w:rPr>
                <w:rFonts w:hint="eastAsia" w:ascii="宋体" w:hAnsi="宋体" w:eastAsia="宋体" w:cs="宋体"/>
                <w:kern w:val="2"/>
                <w:sz w:val="24"/>
                <w:szCs w:val="24"/>
                <w:vertAlign w:val="baseline"/>
                <w:lang w:val="en-US" w:eastAsia="zh-CN" w:bidi="ar-SA"/>
              </w:rPr>
              <w:fldChar w:fldCharType="separate"/>
            </w:r>
            <w:r>
              <w:rPr>
                <w:rFonts w:hint="eastAsia" w:ascii="宋体" w:hAnsi="宋体" w:eastAsia="宋体" w:cs="宋体"/>
                <w:kern w:val="2"/>
                <w:sz w:val="24"/>
                <w:szCs w:val="24"/>
                <w:vertAlign w:val="baseline"/>
                <w:lang w:val="en-US" w:eastAsia="zh-CN" w:bidi="ar-SA"/>
              </w:rPr>
              <w:t>100</w:t>
            </w:r>
            <w:r>
              <w:rPr>
                <w:rFonts w:hint="eastAsia" w:ascii="宋体" w:hAnsi="宋体" w:eastAsia="宋体" w:cs="宋体"/>
                <w:kern w:val="2"/>
                <w:sz w:val="24"/>
                <w:szCs w:val="24"/>
                <w:vertAlign w:val="baseline"/>
                <w:lang w:val="en-US" w:eastAsia="zh-CN" w:bidi="ar-SA"/>
              </w:rPr>
              <w:fldChar w:fldCharType="end"/>
            </w:r>
          </w:p>
        </w:tc>
        <w:tc>
          <w:tcPr>
            <w:tcW w:w="2294" w:type="dxa"/>
            <w:tcBorders>
              <w:top w:val="dotted" w:color="auto" w:sz="4" w:space="0"/>
              <w:left w:val="dotted" w:color="auto" w:sz="4" w:space="0"/>
              <w:bottom w:val="double" w:color="auto" w:sz="4" w:space="0"/>
              <w:right w:val="dotted" w:color="auto" w:sz="4" w:space="0"/>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fldChar w:fldCharType="begin"/>
            </w:r>
            <w:r>
              <w:rPr>
                <w:rFonts w:hint="eastAsia" w:ascii="宋体" w:hAnsi="宋体" w:eastAsia="宋体" w:cs="宋体"/>
                <w:kern w:val="2"/>
                <w:sz w:val="24"/>
                <w:szCs w:val="24"/>
                <w:vertAlign w:val="baseline"/>
                <w:lang w:val="en-US" w:eastAsia="zh-CN" w:bidi="ar-SA"/>
              </w:rPr>
              <w:instrText xml:space="preserve"> = sum(C2:C5) \* MERGEFORMAT </w:instrText>
            </w:r>
            <w:r>
              <w:rPr>
                <w:rFonts w:hint="eastAsia" w:ascii="宋体" w:hAnsi="宋体" w:eastAsia="宋体" w:cs="宋体"/>
                <w:kern w:val="2"/>
                <w:sz w:val="24"/>
                <w:szCs w:val="24"/>
                <w:vertAlign w:val="baseline"/>
                <w:lang w:val="en-US" w:eastAsia="zh-CN" w:bidi="ar-SA"/>
              </w:rPr>
              <w:fldChar w:fldCharType="separate"/>
            </w:r>
            <w:r>
              <w:rPr>
                <w:rFonts w:hint="eastAsia" w:ascii="宋体" w:hAnsi="宋体" w:eastAsia="宋体" w:cs="宋体"/>
                <w:kern w:val="2"/>
                <w:sz w:val="24"/>
                <w:szCs w:val="24"/>
                <w:vertAlign w:val="baseline"/>
                <w:lang w:val="en-US" w:eastAsia="zh-CN" w:bidi="ar-SA"/>
              </w:rPr>
              <w:t>84.54</w:t>
            </w:r>
            <w:r>
              <w:rPr>
                <w:rFonts w:hint="eastAsia" w:ascii="宋体" w:hAnsi="宋体" w:eastAsia="宋体" w:cs="宋体"/>
                <w:kern w:val="2"/>
                <w:sz w:val="24"/>
                <w:szCs w:val="24"/>
                <w:vertAlign w:val="baseline"/>
                <w:lang w:val="en-US" w:eastAsia="zh-CN" w:bidi="ar-SA"/>
              </w:rPr>
              <w:fldChar w:fldCharType="end"/>
            </w:r>
          </w:p>
        </w:tc>
        <w:tc>
          <w:tcPr>
            <w:tcW w:w="2294" w:type="dxa"/>
            <w:tcBorders>
              <w:top w:val="dotted" w:color="auto" w:sz="4" w:space="0"/>
              <w:left w:val="dotted" w:color="auto" w:sz="4" w:space="0"/>
              <w:bottom w:val="double" w:color="auto" w:sz="4" w:space="0"/>
              <w:right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84.54%</w:t>
            </w:r>
          </w:p>
        </w:tc>
      </w:tr>
    </w:tbl>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313" w:beforeLines="100" w:line="360" w:lineRule="auto"/>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48" w:name="_Toc31853"/>
      <w:r>
        <w:rPr>
          <w:rFonts w:hint="eastAsia" w:ascii="楷体_GB2312" w:hAnsi="楷体_GB2312" w:eastAsia="楷体_GB2312" w:cs="楷体_GB2312"/>
          <w:b w:val="0"/>
          <w:bCs w:val="0"/>
          <w:sz w:val="28"/>
          <w:szCs w:val="28"/>
          <w:lang w:val="en-US" w:eastAsia="zh-CN"/>
        </w:rPr>
        <w:t>（二）评价结论</w:t>
      </w:r>
      <w:bookmarkEnd w:id="48"/>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556" w:firstLineChars="200"/>
        <w:jc w:val="both"/>
        <w:textAlignment w:val="auto"/>
        <w:outlineLvl w:val="9"/>
        <w:rPr>
          <w:rFonts w:hint="eastAsia" w:ascii="黑体" w:hAnsi="黑体" w:eastAsia="黑体" w:cs="黑体"/>
          <w:b w:val="0"/>
          <w:bCs w:val="0"/>
          <w:sz w:val="28"/>
          <w:szCs w:val="28"/>
          <w:lang w:val="en-US" w:eastAsia="zh-CN"/>
        </w:rPr>
      </w:pPr>
      <w:r>
        <w:rPr>
          <w:rFonts w:hint="eastAsia" w:ascii="仿宋_GB2312" w:hAnsi="仿宋_GB2312" w:eastAsia="仿宋_GB2312" w:cs="仿宋_GB2312"/>
          <w:color w:val="auto"/>
          <w:spacing w:val="-1"/>
          <w:sz w:val="28"/>
          <w:szCs w:val="28"/>
          <w:u w:val="none"/>
        </w:rPr>
        <w:t>从现场调研情况看，项目基本按照计划完成了年度工作任</w:t>
      </w:r>
      <w:r>
        <w:rPr>
          <w:rFonts w:hint="eastAsia" w:ascii="仿宋_GB2312" w:hAnsi="仿宋_GB2312" w:eastAsia="仿宋_GB2312" w:cs="仿宋_GB2312"/>
          <w:color w:val="auto"/>
          <w:spacing w:val="-8"/>
          <w:sz w:val="28"/>
          <w:szCs w:val="28"/>
          <w:u w:val="none"/>
        </w:rPr>
        <w:t>务，资金支出严格执行了相关政策规定，</w:t>
      </w:r>
      <w:r>
        <w:rPr>
          <w:rFonts w:hint="eastAsia" w:ascii="仿宋_GB2312" w:hAnsi="仿宋_GB2312" w:eastAsia="仿宋_GB2312" w:cs="仿宋_GB2312"/>
          <w:b w:val="0"/>
          <w:bCs w:val="0"/>
          <w:kern w:val="2"/>
          <w:sz w:val="28"/>
          <w:szCs w:val="28"/>
          <w:lang w:val="en-US" w:eastAsia="zh-CN" w:bidi="zh-CN"/>
        </w:rPr>
        <w:t>通过项目建设，栽种生态林</w:t>
      </w:r>
      <w:r>
        <w:rPr>
          <w:rFonts w:hint="eastAsia" w:ascii="仿宋_GB2312" w:hAnsi="仿宋_GB2312" w:cs="仿宋_GB2312"/>
          <w:b w:val="0"/>
          <w:bCs w:val="0"/>
          <w:kern w:val="2"/>
          <w:sz w:val="28"/>
          <w:szCs w:val="28"/>
          <w:lang w:val="en-US" w:eastAsia="zh-CN" w:bidi="zh-CN"/>
        </w:rPr>
        <w:t>、护堤林、堤防防护林等生态植物，配合新建的河堤，</w:t>
      </w:r>
      <w:r>
        <w:rPr>
          <w:rFonts w:hint="eastAsia" w:ascii="仿宋_GB2312" w:hAnsi="仿宋_GB2312" w:eastAsia="仿宋_GB2312" w:cs="仿宋_GB2312"/>
          <w:b w:val="0"/>
          <w:bCs w:val="0"/>
          <w:kern w:val="2"/>
          <w:sz w:val="28"/>
          <w:szCs w:val="28"/>
          <w:lang w:val="en-US" w:eastAsia="zh-CN" w:bidi="zh-CN"/>
        </w:rPr>
        <w:t>有效减少</w:t>
      </w:r>
      <w:r>
        <w:rPr>
          <w:rFonts w:hint="eastAsia" w:ascii="仿宋_GB2312" w:hAnsi="仿宋_GB2312" w:cs="仿宋_GB2312"/>
          <w:b w:val="0"/>
          <w:bCs w:val="0"/>
          <w:kern w:val="2"/>
          <w:sz w:val="28"/>
          <w:szCs w:val="28"/>
          <w:lang w:val="en-US" w:eastAsia="zh-CN" w:bidi="zh-CN"/>
        </w:rPr>
        <w:t>了地表固定污染物</w:t>
      </w:r>
      <w:r>
        <w:rPr>
          <w:rFonts w:hint="eastAsia" w:ascii="仿宋_GB2312" w:hAnsi="仿宋_GB2312" w:eastAsia="仿宋_GB2312" w:cs="仿宋_GB2312"/>
          <w:b w:val="0"/>
          <w:bCs w:val="0"/>
          <w:kern w:val="2"/>
          <w:sz w:val="28"/>
          <w:szCs w:val="28"/>
          <w:lang w:val="en-US" w:eastAsia="zh-CN" w:bidi="zh-CN"/>
        </w:rPr>
        <w:t>落入</w:t>
      </w:r>
      <w:r>
        <w:rPr>
          <w:rFonts w:hint="eastAsia" w:ascii="仿宋_GB2312" w:hAnsi="仿宋_GB2312" w:cs="仿宋_GB2312"/>
          <w:b w:val="0"/>
          <w:bCs w:val="0"/>
          <w:kern w:val="2"/>
          <w:sz w:val="28"/>
          <w:szCs w:val="28"/>
          <w:lang w:val="en-US" w:eastAsia="zh-CN" w:bidi="zh-CN"/>
        </w:rPr>
        <w:t>恢河干支流，提高了恢河干流</w:t>
      </w:r>
      <w:r>
        <w:rPr>
          <w:rFonts w:hint="eastAsia" w:ascii="仿宋_GB2312" w:hAnsi="仿宋_GB2312" w:eastAsia="仿宋_GB2312" w:cs="仿宋_GB2312"/>
          <w:b w:val="0"/>
          <w:bCs w:val="0"/>
          <w:kern w:val="2"/>
          <w:sz w:val="28"/>
          <w:szCs w:val="28"/>
          <w:lang w:val="en-US" w:eastAsia="zh-CN" w:bidi="zh-CN"/>
        </w:rPr>
        <w:t>水质</w:t>
      </w:r>
      <w:r>
        <w:rPr>
          <w:rFonts w:hint="eastAsia" w:ascii="仿宋_GB2312" w:hAnsi="仿宋_GB2312" w:cs="仿宋_GB2312"/>
          <w:b w:val="0"/>
          <w:bCs w:val="0"/>
          <w:kern w:val="2"/>
          <w:sz w:val="28"/>
          <w:szCs w:val="28"/>
          <w:lang w:val="en-US" w:eastAsia="zh-CN" w:bidi="zh-CN"/>
        </w:rPr>
        <w:t>净化能力，改善了河道水质质量</w:t>
      </w:r>
      <w:r>
        <w:rPr>
          <w:rFonts w:hint="eastAsia" w:ascii="仿宋_GB2312" w:hAnsi="仿宋_GB2312" w:eastAsia="仿宋_GB2312" w:cs="仿宋_GB2312"/>
          <w:b w:val="0"/>
          <w:bCs w:val="0"/>
          <w:kern w:val="2"/>
          <w:sz w:val="28"/>
          <w:szCs w:val="28"/>
          <w:lang w:val="en-US" w:eastAsia="zh-CN" w:bidi="zh-CN"/>
        </w:rPr>
        <w:t>。在保持水土、防风固沙、调节气候、净化空气的同时，改善</w:t>
      </w:r>
      <w:r>
        <w:rPr>
          <w:rFonts w:hint="eastAsia" w:ascii="仿宋_GB2312" w:hAnsi="仿宋_GB2312" w:cs="仿宋_GB2312"/>
          <w:b w:val="0"/>
          <w:bCs w:val="0"/>
          <w:kern w:val="2"/>
          <w:sz w:val="28"/>
          <w:szCs w:val="28"/>
          <w:lang w:val="en-US" w:eastAsia="zh-CN" w:bidi="zh-CN"/>
        </w:rPr>
        <w:t>了</w:t>
      </w:r>
      <w:r>
        <w:rPr>
          <w:rFonts w:hint="eastAsia" w:ascii="仿宋_GB2312" w:hAnsi="仿宋_GB2312" w:eastAsia="仿宋_GB2312" w:cs="仿宋_GB2312"/>
          <w:b w:val="0"/>
          <w:bCs w:val="0"/>
          <w:kern w:val="2"/>
          <w:sz w:val="28"/>
          <w:szCs w:val="28"/>
          <w:lang w:val="en-US" w:eastAsia="zh-CN" w:bidi="zh-CN"/>
        </w:rPr>
        <w:t>项目</w:t>
      </w:r>
      <w:r>
        <w:rPr>
          <w:rFonts w:hint="eastAsia" w:ascii="仿宋_GB2312" w:hAnsi="仿宋_GB2312" w:cs="仿宋_GB2312"/>
          <w:b w:val="0"/>
          <w:bCs w:val="0"/>
          <w:kern w:val="2"/>
          <w:sz w:val="28"/>
          <w:szCs w:val="28"/>
          <w:lang w:val="en-US" w:eastAsia="zh-CN" w:bidi="zh-CN"/>
        </w:rPr>
        <w:t>实施</w:t>
      </w:r>
      <w:r>
        <w:rPr>
          <w:rFonts w:hint="eastAsia" w:ascii="仿宋_GB2312" w:hAnsi="仿宋_GB2312" w:eastAsia="仿宋_GB2312" w:cs="仿宋_GB2312"/>
          <w:b w:val="0"/>
          <w:bCs w:val="0"/>
          <w:kern w:val="2"/>
          <w:sz w:val="28"/>
          <w:szCs w:val="28"/>
          <w:lang w:val="en-US" w:eastAsia="zh-CN" w:bidi="zh-CN"/>
        </w:rPr>
        <w:t>区</w:t>
      </w:r>
      <w:r>
        <w:rPr>
          <w:rFonts w:hint="eastAsia" w:ascii="仿宋_GB2312" w:hAnsi="仿宋_GB2312" w:cs="仿宋_GB2312"/>
          <w:b w:val="0"/>
          <w:bCs w:val="0"/>
          <w:kern w:val="2"/>
          <w:sz w:val="28"/>
          <w:szCs w:val="28"/>
          <w:lang w:val="en-US" w:eastAsia="zh-CN" w:bidi="zh-CN"/>
        </w:rPr>
        <w:t>域</w:t>
      </w:r>
      <w:r>
        <w:rPr>
          <w:rFonts w:hint="eastAsia" w:ascii="仿宋_GB2312" w:hAnsi="仿宋_GB2312" w:eastAsia="仿宋_GB2312" w:cs="仿宋_GB2312"/>
          <w:b w:val="0"/>
          <w:bCs w:val="0"/>
          <w:kern w:val="2"/>
          <w:sz w:val="28"/>
          <w:szCs w:val="28"/>
          <w:lang w:val="en-US" w:eastAsia="zh-CN" w:bidi="zh-CN"/>
        </w:rPr>
        <w:t>附近的生态环境和人居环境</w:t>
      </w:r>
      <w:r>
        <w:rPr>
          <w:rFonts w:hint="eastAsia" w:ascii="仿宋_GB2312" w:hAnsi="仿宋_GB2312" w:cs="仿宋_GB2312"/>
          <w:b w:val="0"/>
          <w:bCs w:val="0"/>
          <w:kern w:val="2"/>
          <w:sz w:val="28"/>
          <w:szCs w:val="28"/>
          <w:lang w:val="en-US" w:eastAsia="zh-CN" w:bidi="zh-CN"/>
        </w:rPr>
        <w:t>。但同时存在一些问题，如：项目实施流程不规范，变更手续不完备，部分施工点与当地村民存在纠纷，影响了项目建设进度。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0"/>
        <w:rPr>
          <w:rFonts w:hint="default" w:ascii="仿宋_GB2312" w:hAnsi="仿宋_GB2312" w:eastAsia="仿宋_GB2312" w:cs="仿宋_GB2312"/>
          <w:b w:val="0"/>
          <w:bCs w:val="0"/>
          <w:sz w:val="28"/>
          <w:szCs w:val="28"/>
          <w:lang w:val="en-US" w:eastAsia="zh-CN"/>
        </w:rPr>
      </w:pPr>
      <w:bookmarkStart w:id="49" w:name="_Toc7091"/>
      <w:bookmarkStart w:id="50" w:name="_Toc27016"/>
      <w:r>
        <w:rPr>
          <w:rFonts w:hint="eastAsia" w:ascii="黑体" w:hAnsi="黑体" w:eastAsia="黑体" w:cs="黑体"/>
          <w:b w:val="0"/>
          <w:bCs w:val="0"/>
          <w:sz w:val="28"/>
          <w:szCs w:val="28"/>
          <w:lang w:val="en-US" w:eastAsia="zh-CN"/>
        </w:rPr>
        <w:t>四、存在问题</w:t>
      </w:r>
      <w:bookmarkEnd w:id="49"/>
      <w:bookmarkEnd w:id="50"/>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51" w:name="_Toc12713"/>
      <w:bookmarkStart w:id="52" w:name="_Toc8603"/>
      <w:r>
        <w:rPr>
          <w:rFonts w:hint="eastAsia" w:ascii="楷体_GB2312" w:hAnsi="楷体_GB2312" w:eastAsia="楷体_GB2312" w:cs="楷体_GB2312"/>
          <w:b w:val="0"/>
          <w:bCs w:val="0"/>
          <w:sz w:val="28"/>
          <w:szCs w:val="28"/>
          <w:lang w:val="en-US" w:eastAsia="zh-CN"/>
        </w:rPr>
        <w:t>（一）项目实施流程不规范，变更手续不完备</w:t>
      </w:r>
      <w:bookmarkEnd w:id="51"/>
      <w:bookmarkEnd w:id="52"/>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根据对项目资料的核查，评价组发现</w:t>
      </w:r>
      <w:r>
        <w:rPr>
          <w:rFonts w:hint="eastAsia" w:cs="仿宋_GB2312"/>
          <w:b w:val="0"/>
          <w:bCs w:val="0"/>
          <w:sz w:val="28"/>
          <w:szCs w:val="28"/>
          <w:lang w:val="en-US" w:eastAsia="zh-CN"/>
        </w:rPr>
        <w:t>宁武县水利水保局</w:t>
      </w:r>
      <w:r>
        <w:rPr>
          <w:rFonts w:hint="eastAsia" w:ascii="仿宋_GB2312" w:hAnsi="仿宋_GB2312" w:eastAsia="仿宋_GB2312" w:cs="仿宋_GB2312"/>
          <w:b w:val="0"/>
          <w:bCs w:val="0"/>
          <w:sz w:val="28"/>
          <w:szCs w:val="28"/>
          <w:lang w:val="en-US" w:eastAsia="zh-CN"/>
        </w:rPr>
        <w:t>山水林田湖草项目在2020年6月份可研批复通过后，立即组织招</w:t>
      </w:r>
      <w:r>
        <w:rPr>
          <w:rFonts w:hint="eastAsia" w:cs="仿宋_GB2312"/>
          <w:b w:val="0"/>
          <w:bCs w:val="0"/>
          <w:sz w:val="28"/>
          <w:szCs w:val="28"/>
          <w:lang w:val="en-US" w:eastAsia="zh-CN"/>
        </w:rPr>
        <w:t>投</w:t>
      </w:r>
      <w:r>
        <w:rPr>
          <w:rFonts w:hint="eastAsia" w:ascii="仿宋_GB2312" w:hAnsi="仿宋_GB2312" w:eastAsia="仿宋_GB2312" w:cs="仿宋_GB2312"/>
          <w:b w:val="0"/>
          <w:bCs w:val="0"/>
          <w:sz w:val="28"/>
          <w:szCs w:val="28"/>
          <w:lang w:val="en-US" w:eastAsia="zh-CN"/>
        </w:rPr>
        <w:t>标工作，2020年9月份，确定</w:t>
      </w:r>
      <w:r>
        <w:rPr>
          <w:rFonts w:hint="eastAsia" w:cs="仿宋_GB2312"/>
          <w:b w:val="0"/>
          <w:bCs w:val="0"/>
          <w:sz w:val="28"/>
          <w:szCs w:val="28"/>
          <w:lang w:val="en-US" w:eastAsia="zh-CN"/>
        </w:rPr>
        <w:t>了</w:t>
      </w:r>
      <w:r>
        <w:rPr>
          <w:rFonts w:hint="eastAsia" w:ascii="仿宋_GB2312" w:hAnsi="仿宋_GB2312" w:eastAsia="仿宋_GB2312" w:cs="仿宋_GB2312"/>
          <w:b w:val="0"/>
          <w:bCs w:val="0"/>
          <w:sz w:val="28"/>
          <w:szCs w:val="28"/>
          <w:lang w:val="en-US" w:eastAsia="zh-CN"/>
        </w:rPr>
        <w:t>项目勘察、设计、施工、监理中标单位，</w:t>
      </w:r>
      <w:r>
        <w:rPr>
          <w:rFonts w:hint="eastAsia" w:cs="仿宋_GB2312"/>
          <w:b w:val="0"/>
          <w:bCs w:val="0"/>
          <w:sz w:val="28"/>
          <w:szCs w:val="28"/>
          <w:lang w:val="en-US" w:eastAsia="zh-CN"/>
        </w:rPr>
        <w:t>与中标单位签订了项目勘察、设计、施工总承办合同和项目监理合同。</w:t>
      </w:r>
      <w:r>
        <w:rPr>
          <w:rFonts w:hint="eastAsia" w:ascii="仿宋_GB2312" w:hAnsi="仿宋_GB2312" w:eastAsia="仿宋_GB2312" w:cs="仿宋_GB2312"/>
          <w:b w:val="0"/>
          <w:bCs w:val="0"/>
          <w:sz w:val="28"/>
          <w:szCs w:val="28"/>
          <w:lang w:val="en-US" w:eastAsia="zh-CN"/>
        </w:rPr>
        <w:t>9月中旬各项目正式开始施工</w:t>
      </w:r>
      <w:r>
        <w:rPr>
          <w:rFonts w:hint="eastAsia" w:cs="仿宋_GB2312"/>
          <w:b w:val="0"/>
          <w:bCs w:val="0"/>
          <w:sz w:val="28"/>
          <w:szCs w:val="28"/>
          <w:lang w:val="en-US" w:eastAsia="zh-CN"/>
        </w:rPr>
        <w:t>。各项目初步设计报告于2020年10月完成编制，</w:t>
      </w:r>
      <w:r>
        <w:rPr>
          <w:rFonts w:hint="eastAsia" w:ascii="仿宋_GB2312" w:hAnsi="仿宋_GB2312" w:eastAsia="仿宋_GB2312" w:cs="仿宋_GB2312"/>
          <w:b w:val="0"/>
          <w:bCs w:val="0"/>
          <w:sz w:val="28"/>
          <w:szCs w:val="28"/>
          <w:lang w:val="en-US" w:eastAsia="zh-CN"/>
        </w:rPr>
        <w:t>2021年1月底项目初步设计正式通过审批。</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虽然项目有可行性研究报告及其批复文件来支撑项目前期建设，但项目建设“边施工边设计”违背了工程建设基本程序，增加了项目建设的不可预见性，项目建设随意性大，也给项目日常管理监督工作增加了阻碍。</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由于初步设计</w:t>
      </w:r>
      <w:r>
        <w:rPr>
          <w:rFonts w:hint="eastAsia" w:cs="仿宋_GB2312"/>
          <w:b w:val="0"/>
          <w:bCs w:val="0"/>
          <w:sz w:val="28"/>
          <w:szCs w:val="28"/>
          <w:lang w:val="en-US" w:eastAsia="zh-CN"/>
        </w:rPr>
        <w:t>批复</w:t>
      </w:r>
      <w:r>
        <w:rPr>
          <w:rFonts w:hint="eastAsia" w:ascii="仿宋_GB2312" w:hAnsi="仿宋_GB2312" w:eastAsia="仿宋_GB2312" w:cs="仿宋_GB2312"/>
          <w:b w:val="0"/>
          <w:bCs w:val="0"/>
          <w:sz w:val="28"/>
          <w:szCs w:val="28"/>
          <w:lang w:val="en-US" w:eastAsia="zh-CN"/>
        </w:rPr>
        <w:t>较晚，项目先行按照可行性研究报告批复的建设规模及资金预算签订施工总承包合同，初步设计通过批复后，项目实际建设规模及资金预算改为初步设计批复内容，各项目</w:t>
      </w:r>
      <w:r>
        <w:rPr>
          <w:rFonts w:hint="eastAsia" w:cs="仿宋_GB2312"/>
          <w:b w:val="0"/>
          <w:bCs w:val="0"/>
          <w:sz w:val="28"/>
          <w:szCs w:val="28"/>
          <w:lang w:val="en-US" w:eastAsia="zh-CN"/>
        </w:rPr>
        <w:t>可研批复及初步设计均存在不同程度的变更，且项目进度表，存在实际栽种树木数量远超计划栽种数量的情况，评价过程中，水利水保局未提供相关变更文件。</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default" w:ascii="楷体_GB2312" w:hAnsi="楷体_GB2312" w:eastAsia="楷体_GB2312" w:cs="楷体_GB2312"/>
          <w:b w:val="0"/>
          <w:bCs w:val="0"/>
          <w:sz w:val="28"/>
          <w:szCs w:val="28"/>
          <w:lang w:val="en-US" w:eastAsia="zh-CN"/>
        </w:rPr>
      </w:pPr>
      <w:bookmarkStart w:id="53" w:name="_Toc31917"/>
      <w:bookmarkStart w:id="54" w:name="_Toc19451"/>
      <w:r>
        <w:rPr>
          <w:rFonts w:hint="eastAsia" w:ascii="楷体_GB2312" w:hAnsi="楷体_GB2312" w:eastAsia="楷体_GB2312" w:cs="楷体_GB2312"/>
          <w:b w:val="0"/>
          <w:bCs w:val="0"/>
          <w:sz w:val="28"/>
          <w:szCs w:val="28"/>
          <w:lang w:val="en-US" w:eastAsia="zh-CN"/>
        </w:rPr>
        <w:t>（二）部分施工地点与当地村民存在土地纠纷影响项目建设进度</w:t>
      </w:r>
      <w:bookmarkEnd w:id="53"/>
      <w:bookmarkEnd w:id="54"/>
    </w:p>
    <w:p>
      <w:pPr>
        <w:pStyle w:val="2"/>
        <w:keepNext w:val="0"/>
        <w:keepLines w:val="0"/>
        <w:pageBreakBefore w:val="0"/>
        <w:widowControl/>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cs="仿宋_GB2312"/>
          <w:b w:val="0"/>
          <w:bCs w:val="0"/>
          <w:sz w:val="28"/>
          <w:szCs w:val="28"/>
          <w:lang w:val="en-US" w:eastAsia="zh-CN"/>
        </w:rPr>
      </w:pPr>
      <w:r>
        <w:rPr>
          <w:rFonts w:hint="eastAsia" w:cs="仿宋_GB2312"/>
          <w:b w:val="0"/>
          <w:bCs w:val="0"/>
          <w:sz w:val="28"/>
          <w:szCs w:val="28"/>
          <w:lang w:val="en-US" w:eastAsia="zh-CN"/>
        </w:rPr>
        <w:t>本项目在项目建设区域内与当地村民存在土地纠纷，据了解当地村民反映项目建设区域占用了村民土地，导致项目部分护坝工程一直停工延期，而由于恢河源头生态建设部分植物需等待护坝建成后才能进行栽种工作，因此两项工程</w:t>
      </w:r>
      <w:r>
        <w:rPr>
          <w:rFonts w:hint="eastAsia" w:ascii="宋体" w:hAnsi="宋体" w:eastAsia="宋体" w:cs="宋体"/>
          <w:b w:val="0"/>
          <w:bCs w:val="0"/>
          <w:lang w:val="en-US" w:eastAsia="zh-CN"/>
        </w:rPr>
        <w:t>在</w:t>
      </w:r>
      <w:r>
        <w:rPr>
          <w:rFonts w:hint="eastAsia" w:cs="仿宋_GB2312"/>
          <w:b w:val="0"/>
          <w:bCs w:val="0"/>
          <w:sz w:val="28"/>
          <w:szCs w:val="28"/>
          <w:lang w:val="en-US" w:eastAsia="zh-CN"/>
        </w:rPr>
        <w:t>下余庄至庙儿沟段施工地点交叉处均处于停工状态台，需等待纠纷解决后才能修建护坝，栽种护堤林。</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0"/>
        <w:rPr>
          <w:rFonts w:hint="eastAsia" w:ascii="黑体" w:hAnsi="黑体" w:eastAsia="黑体" w:cs="黑体"/>
          <w:b w:val="0"/>
          <w:bCs w:val="0"/>
          <w:sz w:val="28"/>
          <w:szCs w:val="28"/>
          <w:lang w:val="en-US" w:eastAsia="zh-CN"/>
        </w:rPr>
      </w:pPr>
      <w:bookmarkStart w:id="55" w:name="_Toc7248"/>
      <w:bookmarkStart w:id="56" w:name="_Toc19723"/>
      <w:r>
        <w:rPr>
          <w:rFonts w:hint="eastAsia" w:ascii="黑体" w:hAnsi="黑体" w:eastAsia="黑体" w:cs="黑体"/>
          <w:b w:val="0"/>
          <w:bCs w:val="0"/>
          <w:sz w:val="28"/>
          <w:szCs w:val="28"/>
          <w:lang w:val="en-US" w:eastAsia="zh-CN"/>
        </w:rPr>
        <w:t>五、相关建议</w:t>
      </w:r>
      <w:bookmarkEnd w:id="55"/>
      <w:bookmarkEnd w:id="56"/>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default" w:ascii="楷体_GB2312" w:hAnsi="楷体_GB2312" w:eastAsia="楷体_GB2312" w:cs="楷体_GB2312"/>
          <w:b w:val="0"/>
          <w:bCs w:val="0"/>
          <w:sz w:val="28"/>
          <w:szCs w:val="28"/>
          <w:lang w:val="en-US" w:eastAsia="zh-CN"/>
        </w:rPr>
      </w:pPr>
      <w:bookmarkStart w:id="57" w:name="_Toc10019"/>
      <w:bookmarkStart w:id="58" w:name="_Toc32610"/>
      <w:r>
        <w:rPr>
          <w:rFonts w:hint="eastAsia" w:ascii="楷体_GB2312" w:hAnsi="楷体_GB2312" w:eastAsia="楷体_GB2312" w:cs="楷体_GB2312"/>
          <w:b w:val="0"/>
          <w:bCs w:val="0"/>
          <w:sz w:val="28"/>
          <w:szCs w:val="28"/>
          <w:lang w:val="en-US" w:eastAsia="zh-CN"/>
        </w:rPr>
        <w:t>（一）规范项目实施流程，完善项目变更手续</w:t>
      </w:r>
      <w:bookmarkEnd w:id="57"/>
      <w:bookmarkEnd w:id="58"/>
    </w:p>
    <w:p>
      <w:pPr>
        <w:pStyle w:val="2"/>
        <w:keepNext w:val="0"/>
        <w:keepLines w:val="0"/>
        <w:pageBreakBefore w:val="0"/>
        <w:widowControl/>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项目前期规划工作，是项目建设成功的关键。建议</w:t>
      </w:r>
      <w:r>
        <w:rPr>
          <w:rFonts w:hint="eastAsia" w:cs="仿宋_GB2312"/>
          <w:b w:val="0"/>
          <w:bCs w:val="0"/>
          <w:sz w:val="28"/>
          <w:szCs w:val="28"/>
          <w:lang w:val="en-US" w:eastAsia="zh-CN"/>
        </w:rPr>
        <w:t>水利水保局</w:t>
      </w:r>
      <w:r>
        <w:rPr>
          <w:rFonts w:hint="eastAsia" w:ascii="仿宋_GB2312" w:hAnsi="仿宋_GB2312" w:eastAsia="仿宋_GB2312" w:cs="仿宋_GB2312"/>
          <w:b w:val="0"/>
          <w:bCs w:val="0"/>
          <w:sz w:val="28"/>
          <w:szCs w:val="28"/>
          <w:lang w:val="en-US" w:eastAsia="zh-CN"/>
        </w:rPr>
        <w:t>以后工作中要规范项目实施流程：一是要按照国家和省对项目建设的指导思想、目标任务来安排项目建设内容，做好项目前期准备工作，搞好项目立项前的调研和评估论证，避免项目设计深度不够，项目建设出现边勘察、边设计、边施工的“三边”现象；二是要严格执行项目计划，计划一经批复，应严格按照计划施工，不得擅自调整，项目建设内容确需调整的，要及时履行报批手续。</w:t>
      </w:r>
    </w:p>
    <w:p>
      <w:pPr>
        <w:pStyle w:val="2"/>
        <w:keepNext w:val="0"/>
        <w:keepLines w:val="0"/>
        <w:pageBreakBefore w:val="0"/>
        <w:widowControl/>
        <w:kinsoku/>
        <w:wordWrap/>
        <w:overflowPunct/>
        <w:topLinePunct w:val="0"/>
        <w:autoSpaceDE/>
        <w:autoSpaceDN/>
        <w:bidi w:val="0"/>
        <w:adjustRightInd w:val="0"/>
        <w:snapToGrid w:val="0"/>
        <w:spacing w:line="360" w:lineRule="auto"/>
        <w:ind w:leftChars="0" w:firstLine="560" w:firstLineChars="200"/>
        <w:textAlignment w:val="auto"/>
        <w:outlineLvl w:val="9"/>
        <w:rPr>
          <w:rFonts w:hint="default" w:ascii="仿宋_GB2312" w:hAnsi="仿宋_GB2312" w:eastAsia="仿宋_GB2312" w:cs="仿宋_GB2312"/>
          <w:b w:val="0"/>
          <w:bCs w:val="0"/>
          <w:kern w:val="2"/>
          <w:sz w:val="28"/>
          <w:szCs w:val="28"/>
          <w:lang w:val="en-US" w:eastAsia="zh-CN" w:bidi="zh-CN"/>
        </w:rPr>
      </w:pPr>
      <w:r>
        <w:rPr>
          <w:rFonts w:hint="eastAsia" w:ascii="仿宋_GB2312" w:hAnsi="仿宋_GB2312" w:eastAsia="仿宋_GB2312" w:cs="仿宋_GB2312"/>
          <w:b w:val="0"/>
          <w:bCs w:val="0"/>
          <w:kern w:val="2"/>
          <w:sz w:val="28"/>
          <w:szCs w:val="28"/>
          <w:lang w:val="en-US" w:eastAsia="zh-CN" w:bidi="zh-CN"/>
        </w:rPr>
        <w:t>其次，要完善项目变更手续，由于项目在可研通过批复后，未通过初步设计批复就</w:t>
      </w:r>
      <w:r>
        <w:rPr>
          <w:rFonts w:hint="eastAsia" w:cs="仿宋_GB2312"/>
          <w:b w:val="0"/>
          <w:bCs w:val="0"/>
          <w:kern w:val="2"/>
          <w:sz w:val="28"/>
          <w:szCs w:val="28"/>
          <w:lang w:val="en-US" w:eastAsia="zh-CN" w:bidi="zh-CN"/>
        </w:rPr>
        <w:t>进行</w:t>
      </w:r>
      <w:r>
        <w:rPr>
          <w:rFonts w:hint="eastAsia" w:ascii="仿宋_GB2312" w:hAnsi="仿宋_GB2312" w:eastAsia="仿宋_GB2312" w:cs="仿宋_GB2312"/>
          <w:b w:val="0"/>
          <w:bCs w:val="0"/>
          <w:kern w:val="2"/>
          <w:sz w:val="28"/>
          <w:szCs w:val="28"/>
          <w:lang w:val="en-US" w:eastAsia="zh-CN" w:bidi="zh-CN"/>
        </w:rPr>
        <w:t>招标工作并开始施工，初步设计后对项目建设任务及资金预算均进行调整，但</w:t>
      </w:r>
      <w:r>
        <w:rPr>
          <w:rFonts w:hint="eastAsia" w:cs="仿宋_GB2312"/>
          <w:b w:val="0"/>
          <w:bCs w:val="0"/>
          <w:kern w:val="2"/>
          <w:sz w:val="28"/>
          <w:szCs w:val="28"/>
          <w:lang w:val="en-US" w:eastAsia="zh-CN" w:bidi="zh-CN"/>
        </w:rPr>
        <w:t>水利水保局</w:t>
      </w:r>
      <w:r>
        <w:rPr>
          <w:rFonts w:hint="eastAsia" w:ascii="仿宋_GB2312" w:hAnsi="仿宋_GB2312" w:eastAsia="仿宋_GB2312" w:cs="仿宋_GB2312"/>
          <w:b w:val="0"/>
          <w:bCs w:val="0"/>
          <w:kern w:val="2"/>
          <w:sz w:val="28"/>
          <w:szCs w:val="28"/>
          <w:lang w:val="en-US" w:eastAsia="zh-CN" w:bidi="zh-CN"/>
        </w:rPr>
        <w:t>未进行变更手续，根据《中华人民共和国预算法》（主席令第22号）要求，项目需要增加或者减少预算总支出的应当编制预算调整方案。建议</w:t>
      </w:r>
      <w:r>
        <w:rPr>
          <w:rFonts w:hint="eastAsia" w:cs="仿宋_GB2312"/>
          <w:b w:val="0"/>
          <w:bCs w:val="0"/>
          <w:kern w:val="2"/>
          <w:sz w:val="28"/>
          <w:szCs w:val="28"/>
          <w:lang w:val="en-US" w:eastAsia="zh-CN" w:bidi="zh-CN"/>
        </w:rPr>
        <w:t>水利水保局</w:t>
      </w:r>
      <w:r>
        <w:rPr>
          <w:rFonts w:hint="eastAsia" w:ascii="仿宋_GB2312" w:hAnsi="仿宋_GB2312" w:eastAsia="仿宋_GB2312" w:cs="仿宋_GB2312"/>
          <w:b w:val="0"/>
          <w:bCs w:val="0"/>
          <w:kern w:val="2"/>
          <w:sz w:val="28"/>
          <w:szCs w:val="28"/>
          <w:lang w:val="en-US" w:eastAsia="zh-CN" w:bidi="zh-CN"/>
        </w:rPr>
        <w:t>完善变更手续，补充调整方案，以反映项目实际建设</w:t>
      </w:r>
      <w:r>
        <w:rPr>
          <w:rFonts w:hint="eastAsia" w:cs="仿宋_GB2312"/>
          <w:b w:val="0"/>
          <w:bCs w:val="0"/>
          <w:kern w:val="2"/>
          <w:sz w:val="28"/>
          <w:szCs w:val="28"/>
          <w:lang w:val="en-US" w:eastAsia="zh-CN" w:bidi="zh-CN"/>
        </w:rPr>
        <w:t>任务</w:t>
      </w:r>
      <w:r>
        <w:rPr>
          <w:rFonts w:hint="eastAsia" w:ascii="仿宋_GB2312" w:hAnsi="仿宋_GB2312" w:eastAsia="仿宋_GB2312" w:cs="仿宋_GB2312"/>
          <w:b w:val="0"/>
          <w:bCs w:val="0"/>
          <w:kern w:val="2"/>
          <w:sz w:val="28"/>
          <w:szCs w:val="28"/>
          <w:lang w:val="en-US" w:eastAsia="zh-CN" w:bidi="zh-CN"/>
        </w:rPr>
        <w:t>目标及资金预算。</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1"/>
        <w:rPr>
          <w:rFonts w:hint="eastAsia" w:ascii="楷体_GB2312" w:hAnsi="楷体_GB2312" w:eastAsia="楷体_GB2312" w:cs="楷体_GB2312"/>
          <w:b w:val="0"/>
          <w:bCs w:val="0"/>
          <w:kern w:val="2"/>
          <w:sz w:val="28"/>
          <w:szCs w:val="28"/>
          <w:lang w:val="en-US" w:eastAsia="zh-CN" w:bidi="zh-CN"/>
        </w:rPr>
      </w:pPr>
      <w:bookmarkStart w:id="59" w:name="_Toc17962"/>
      <w:bookmarkStart w:id="60" w:name="_Toc25972"/>
      <w:r>
        <w:rPr>
          <w:rFonts w:hint="eastAsia" w:ascii="楷体_GB2312" w:hAnsi="楷体_GB2312" w:eastAsia="楷体_GB2312" w:cs="楷体_GB2312"/>
          <w:b w:val="0"/>
          <w:bCs w:val="0"/>
          <w:kern w:val="2"/>
          <w:sz w:val="28"/>
          <w:szCs w:val="28"/>
          <w:lang w:val="en-US" w:eastAsia="zh-CN" w:bidi="zh-CN"/>
        </w:rPr>
        <w:t>（二）统筹协调，有序推进项目建设</w:t>
      </w:r>
      <w:bookmarkEnd w:id="59"/>
      <w:bookmarkEnd w:id="60"/>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首先，应分析阻碍项目建设的主要原因，研究赶工措施；其次，可以考虑重新</w:t>
      </w:r>
      <w:r>
        <w:rPr>
          <w:rFonts w:hint="eastAsia" w:cs="仿宋_GB2312"/>
          <w:b w:val="0"/>
          <w:bCs w:val="0"/>
          <w:sz w:val="28"/>
          <w:szCs w:val="28"/>
          <w:lang w:val="en-US" w:eastAsia="zh-CN"/>
        </w:rPr>
        <w:t>调整施工进度计划，进一步细化项目建设进度计划；把生产任务责任落实到各管理人员，明确责任。加强生产调度、协调管理，合理安排施工顺序，提前准备，及时组织动态管理，统筹协调各方关系，有序推进项目建设。</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pPr>
    </w:p>
    <w:sectPr>
      <w:headerReference r:id="rId6" w:type="default"/>
      <w:footerReference r:id="rId7"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DE6CDE-3A53-4DCB-91D0-20A1BB7333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3CEC4BB-BD26-4154-A2B8-B5A8AE1A0E68}"/>
  </w:font>
  <w:font w:name="楷体_GB2312">
    <w:panose1 w:val="02010609030101010101"/>
    <w:charset w:val="86"/>
    <w:family w:val="auto"/>
    <w:pitch w:val="default"/>
    <w:sig w:usb0="00000001" w:usb1="080E0000" w:usb2="00000000" w:usb3="00000000" w:csb0="00040000" w:csb1="00000000"/>
    <w:embedRegular r:id="rId3" w:fontKey="{31E9640D-9B5C-43BE-AB79-EB01B0BCE374}"/>
  </w:font>
  <w:font w:name="方正小标宋简体">
    <w:panose1 w:val="03000509000000000000"/>
    <w:charset w:val="86"/>
    <w:family w:val="auto"/>
    <w:pitch w:val="default"/>
    <w:sig w:usb0="00000001" w:usb1="080E0000" w:usb2="00000000" w:usb3="00000000" w:csb0="00040000" w:csb1="00000000"/>
    <w:embedRegular r:id="rId4" w:fontKey="{1DF35D15-B58D-4560-B14D-085EA37E561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eastAsia="宋体" w:cs="宋体"/>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both"/>
      <w:textAlignment w:val="auto"/>
      <w:rPr>
        <w:rFonts w:hint="eastAsia" w:ascii="宋体" w:hAnsi="宋体" w:eastAsia="宋体" w:cs="宋体"/>
        <w:sz w:val="22"/>
        <w:szCs w:val="22"/>
        <w:lang w:val="en-US" w:eastAsia="zh-CN"/>
      </w:rPr>
    </w:pPr>
    <w:r>
      <w:rPr>
        <w:sz w:val="22"/>
        <w:szCs w:val="22"/>
      </w:rPr>
      <w:drawing>
        <wp:inline distT="0" distB="0" distL="114300" distR="114300">
          <wp:extent cx="240665" cy="24066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w:t>
    </w:r>
    <w:r>
      <w:rPr>
        <w:rFonts w:hint="eastAsia"/>
        <w:sz w:val="22"/>
        <w:szCs w:val="22"/>
        <w:lang w:val="en-US" w:eastAsia="zh-CN"/>
      </w:rPr>
      <w:t xml:space="preserve">         </w:t>
    </w:r>
    <w:r>
      <w:rPr>
        <w:rFonts w:hint="eastAsia" w:ascii="宋体" w:hAnsi="宋体" w:eastAsia="宋体" w:cs="宋体"/>
        <w:sz w:val="22"/>
        <w:szCs w:val="22"/>
        <w:lang w:val="en-US" w:eastAsia="zh-CN"/>
      </w:rPr>
      <w:t>宁武县水利水保局恢河干流生态植被建设项目专项资金绩效评价报告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TJhOTM5OThiZDJiYWUyM2UzNTYxOGQwOTdjMDcifQ=="/>
  </w:docVars>
  <w:rsids>
    <w:rsidRoot w:val="44BD5667"/>
    <w:rsid w:val="04125E12"/>
    <w:rsid w:val="084C6E43"/>
    <w:rsid w:val="0AB54959"/>
    <w:rsid w:val="0C91363E"/>
    <w:rsid w:val="0E912396"/>
    <w:rsid w:val="0FF409C4"/>
    <w:rsid w:val="14F92BD6"/>
    <w:rsid w:val="15AC4552"/>
    <w:rsid w:val="194B3400"/>
    <w:rsid w:val="1A063ED1"/>
    <w:rsid w:val="1AB05F4B"/>
    <w:rsid w:val="1B054908"/>
    <w:rsid w:val="1B7D557D"/>
    <w:rsid w:val="1B97170D"/>
    <w:rsid w:val="1BDC100A"/>
    <w:rsid w:val="1CE27643"/>
    <w:rsid w:val="1D672783"/>
    <w:rsid w:val="20485112"/>
    <w:rsid w:val="20F8147A"/>
    <w:rsid w:val="222E3B10"/>
    <w:rsid w:val="22661CA5"/>
    <w:rsid w:val="2500187D"/>
    <w:rsid w:val="287224C3"/>
    <w:rsid w:val="2BB63A38"/>
    <w:rsid w:val="2BCC2AB3"/>
    <w:rsid w:val="2BFA3766"/>
    <w:rsid w:val="2FC97DA6"/>
    <w:rsid w:val="35427FE8"/>
    <w:rsid w:val="35D54660"/>
    <w:rsid w:val="36CD0990"/>
    <w:rsid w:val="38960A84"/>
    <w:rsid w:val="3BAB4A93"/>
    <w:rsid w:val="40E62926"/>
    <w:rsid w:val="44BD5667"/>
    <w:rsid w:val="453458DD"/>
    <w:rsid w:val="47946129"/>
    <w:rsid w:val="47CB5315"/>
    <w:rsid w:val="491A4BBD"/>
    <w:rsid w:val="49501535"/>
    <w:rsid w:val="495770F6"/>
    <w:rsid w:val="4ACF1226"/>
    <w:rsid w:val="4BC80AB5"/>
    <w:rsid w:val="4C701E31"/>
    <w:rsid w:val="4C7B4CD9"/>
    <w:rsid w:val="4CFA4C80"/>
    <w:rsid w:val="4E881B04"/>
    <w:rsid w:val="515E7093"/>
    <w:rsid w:val="51757F28"/>
    <w:rsid w:val="52406253"/>
    <w:rsid w:val="52DE6BCC"/>
    <w:rsid w:val="542517D6"/>
    <w:rsid w:val="59506F62"/>
    <w:rsid w:val="5C663C94"/>
    <w:rsid w:val="5E39288D"/>
    <w:rsid w:val="5E394CAF"/>
    <w:rsid w:val="5E806F6F"/>
    <w:rsid w:val="5EC02857"/>
    <w:rsid w:val="5FF20A31"/>
    <w:rsid w:val="618C25A9"/>
    <w:rsid w:val="61A73EB8"/>
    <w:rsid w:val="684304B0"/>
    <w:rsid w:val="68DA6693"/>
    <w:rsid w:val="6FA24545"/>
    <w:rsid w:val="6FB97C2B"/>
    <w:rsid w:val="6FC420DD"/>
    <w:rsid w:val="743A7501"/>
    <w:rsid w:val="784774B2"/>
    <w:rsid w:val="78A3591C"/>
    <w:rsid w:val="796A7D14"/>
    <w:rsid w:val="79921F63"/>
    <w:rsid w:val="7BBB6652"/>
    <w:rsid w:val="7EDB1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420" w:firstLineChars="200"/>
      <w:jc w:val="both"/>
    </w:pPr>
    <w:rPr>
      <w:rFonts w:eastAsia="仿宋_GB2312" w:asciiTheme="minorAscii" w:hAnsiTheme="minorAscii" w:cstheme="minorBidi"/>
      <w:kern w:val="2"/>
      <w:sz w:val="28"/>
      <w:szCs w:val="24"/>
      <w:lang w:val="en-US" w:eastAsia="zh-CN" w:bidi="ar-SA"/>
    </w:rPr>
  </w:style>
  <w:style w:type="paragraph" w:styleId="4">
    <w:name w:val="heading 1"/>
    <w:basedOn w:val="1"/>
    <w:next w:val="1"/>
    <w:qFormat/>
    <w:uiPriority w:val="0"/>
    <w:pPr>
      <w:keepNext/>
      <w:keepLines/>
      <w:snapToGrid w:val="0"/>
      <w:spacing w:beforeLines="0" w:beforeAutospacing="0" w:afterLines="0" w:afterAutospacing="0" w:line="360" w:lineRule="auto"/>
      <w:ind w:firstLine="0" w:firstLineChars="0"/>
      <w:jc w:val="both"/>
      <w:outlineLvl w:val="9"/>
    </w:pPr>
    <w:rPr>
      <w:rFonts w:eastAsia="黑体"/>
      <w:kern w:val="44"/>
      <w:sz w:val="28"/>
    </w:rPr>
  </w:style>
  <w:style w:type="paragraph" w:styleId="5">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楷体_GB2312"/>
    </w:rPr>
  </w:style>
  <w:style w:type="paragraph" w:styleId="6">
    <w:name w:val="heading 3"/>
    <w:basedOn w:val="1"/>
    <w:next w:val="1"/>
    <w:unhideWhenUsed/>
    <w:qFormat/>
    <w:uiPriority w:val="0"/>
    <w:pPr>
      <w:keepNext/>
      <w:keepLines/>
      <w:spacing w:beforeLines="0" w:beforeAutospacing="0" w:afterLines="0" w:afterAutospacing="0" w:line="360" w:lineRule="auto"/>
      <w:outlineLvl w:val="2"/>
    </w:pPr>
    <w:rPr>
      <w:rFonts w:ascii="仿宋_GB2312" w:hAnsi="仿宋_GB2312" w:eastAsia="仿宋_GB2312"/>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28"/>
      <w:szCs w:val="28"/>
      <w:lang w:val="zh-CN" w:eastAsia="zh-CN" w:bidi="zh-CN"/>
    </w:rPr>
  </w:style>
  <w:style w:type="paragraph" w:styleId="3">
    <w:name w:val="Plain Text"/>
    <w:basedOn w:val="1"/>
    <w:qFormat/>
    <w:uiPriority w:val="0"/>
    <w:rPr>
      <w:rFonts w:ascii="宋体" w:hAnsi="Courier New"/>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b/>
      <w:sz w:val="4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styleId="19">
    <w:name w:val="List Paragraph"/>
    <w:basedOn w:val="1"/>
    <w:unhideWhenUsed/>
    <w:qFormat/>
    <w:uiPriority w:val="99"/>
    <w:pPr>
      <w:ind w:firstLine="420" w:firstLineChars="200"/>
    </w:p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30691</Words>
  <Characters>33444</Characters>
  <Lines>0</Lines>
  <Paragraphs>0</Paragraphs>
  <TotalTime>5</TotalTime>
  <ScaleCrop>false</ScaleCrop>
  <LinksUpToDate>false</LinksUpToDate>
  <CharactersWithSpaces>33557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2021-11-13T10:28:00Z</dcterms:created>
  <dc:creator>.音越</dc:creator>
  <cp:lastModifiedBy>待夏</cp:lastModifiedBy>
  <cp:lastPrinted>2022-04-25T08:55:00Z</cp:lastPrinted>
  <dcterms:modified xsi:type="dcterms:W3CDTF">2022-09-13T11:01:56Z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3D2336A3134A428E800518B329DEF64B</vt:lpwstr>
  </property>
  <property fmtid="{D5CDD505-2E9C-101B-9397-08002B2CF9AE}" pid="4" name="commondata">
    <vt:lpwstr>eyJoZGlkIjoiNzcyMTUzNjE5NmMzOTRiNmY3NDllYTFhYWI0ODc3NzQifQ==</vt:lpwstr>
  </property>
</Properties>
</file>