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</w:pPr>
    </w:p>
    <w:p>
      <w:pPr>
        <w:pStyle w:val="2"/>
      </w:pP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宁武</w:t>
      </w:r>
      <w:r>
        <w:rPr>
          <w:rFonts w:hint="eastAsia" w:ascii="方正小标宋简体" w:eastAsia="方正小标宋简体"/>
          <w:sz w:val="44"/>
          <w:szCs w:val="44"/>
        </w:rPr>
        <w:t>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畜牧兽医中心2020</w:t>
      </w:r>
      <w:r>
        <w:rPr>
          <w:rFonts w:hint="eastAsia" w:ascii="方正小标宋简体" w:eastAsia="方正小标宋简体"/>
          <w:sz w:val="44"/>
          <w:szCs w:val="44"/>
        </w:rPr>
        <w:t>年统筹整合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财政资金绩效评价报告</w:t>
      </w: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部门名称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lang w:eastAsia="zh-CN"/>
        </w:rPr>
        <w:t>宁武</w:t>
      </w:r>
      <w:r>
        <w:rPr>
          <w:rFonts w:hint="eastAsia" w:ascii="黑体" w:hAnsi="黑体" w:eastAsia="黑体"/>
          <w:sz w:val="32"/>
          <w:szCs w:val="32"/>
        </w:rPr>
        <w:t>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畜牧兽医中心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委托单位：</w:t>
      </w:r>
      <w:r>
        <w:rPr>
          <w:rFonts w:hint="eastAsia" w:ascii="黑体" w:hAnsi="黑体" w:eastAsia="黑体"/>
          <w:sz w:val="32"/>
          <w:szCs w:val="32"/>
          <w:lang w:eastAsia="zh-CN"/>
        </w:rPr>
        <w:t>宁武</w:t>
      </w:r>
      <w:r>
        <w:rPr>
          <w:rFonts w:hint="eastAsia" w:ascii="黑体" w:hAnsi="黑体" w:eastAsia="黑体"/>
          <w:sz w:val="32"/>
          <w:szCs w:val="32"/>
        </w:rPr>
        <w:t>县财政局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评价机构：山西亚泰会计师事务所有限公司              </w:t>
      </w:r>
    </w:p>
    <w:p>
      <w:pPr>
        <w:pStyle w:val="2"/>
      </w:pPr>
    </w:p>
    <w:p>
      <w:pPr>
        <w:ind w:firstLine="0" w:firstLineChars="0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 w:cs="宋体"/>
          <w:sz w:val="32"/>
          <w:szCs w:val="32"/>
        </w:rPr>
        <w:t>〇</w:t>
      </w:r>
      <w:r>
        <w:rPr>
          <w:rFonts w:hint="eastAsia" w:ascii="黑体" w:hAnsi="黑体" w:eastAsia="黑体" w:cs="仿宋_GB2312"/>
          <w:sz w:val="32"/>
          <w:szCs w:val="32"/>
        </w:rPr>
        <w:t>二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_GB2312"/>
          <w:sz w:val="32"/>
          <w:szCs w:val="32"/>
        </w:rPr>
        <w:t>年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仿宋_GB2312"/>
          <w:sz w:val="32"/>
          <w:szCs w:val="32"/>
        </w:rPr>
        <w:t>月</w:t>
      </w:r>
    </w:p>
    <w:p>
      <w:r>
        <w:rPr>
          <w:rFonts w:hint="eastAsia" w:ascii="方正小标宋简体" w:eastAsia="方正小标宋简体"/>
          <w:sz w:val="36"/>
          <w:szCs w:val="36"/>
        </w:rPr>
        <w:br w:type="page"/>
      </w:r>
    </w:p>
    <w:p>
      <w:pPr>
        <w:tabs>
          <w:tab w:val="left" w:pos="3072"/>
        </w:tabs>
        <w:bidi w:val="0"/>
        <w:jc w:val="left"/>
        <w:rPr>
          <w:rFonts w:hint="eastAsia" w:eastAsia="仿宋_GB2312"/>
          <w:lang w:eastAsia="zh-CN"/>
        </w:rPr>
        <w:sectPr>
          <w:headerReference r:id="rId6" w:type="first"/>
          <w:headerReference r:id="rId5" w:type="default"/>
          <w:footerReference r:id="rId7" w:type="default"/>
          <w:pgSz w:w="11905" w:h="16838"/>
          <w:pgMar w:top="2041" w:right="1418" w:bottom="1418" w:left="1531" w:header="85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titlePg/>
          <w:docGrid w:linePitch="312" w:charSpace="0"/>
        </w:sectPr>
      </w:pPr>
      <w:bookmarkStart w:id="0" w:name="_Toc20311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  <w:bookmarkStart w:id="1" w:name="_Toc5555"/>
      <w:r>
        <w:rPr>
          <w:rFonts w:hint="eastAsia" w:ascii="方正小标宋简体" w:eastAsia="方正小标宋简体"/>
          <w:sz w:val="36"/>
          <w:szCs w:val="36"/>
          <w:lang w:eastAsia="zh-CN"/>
        </w:rPr>
        <w:t>宁武</w:t>
      </w:r>
      <w:r>
        <w:rPr>
          <w:rFonts w:hint="eastAsia" w:ascii="方正小标宋简体" w:eastAsia="方正小标宋简体"/>
          <w:sz w:val="36"/>
          <w:szCs w:val="36"/>
        </w:rPr>
        <w:t>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畜牧兽医中心2020</w:t>
      </w:r>
      <w:r>
        <w:rPr>
          <w:rFonts w:hint="eastAsia" w:ascii="方正小标宋简体" w:eastAsia="方正小标宋简体"/>
          <w:sz w:val="36"/>
          <w:szCs w:val="36"/>
        </w:rPr>
        <w:t>年统筹整合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sz w:val="36"/>
          <w:szCs w:val="36"/>
        </w:rPr>
      </w:pPr>
      <w:bookmarkStart w:id="2" w:name="_Toc9709"/>
      <w:r>
        <w:rPr>
          <w:rFonts w:hint="eastAsia" w:ascii="方正小标宋简体" w:eastAsia="方正小标宋简体"/>
          <w:sz w:val="36"/>
          <w:szCs w:val="36"/>
        </w:rPr>
        <w:t>财政资金绩效评价报告</w:t>
      </w:r>
      <w:bookmarkEnd w:id="2"/>
    </w:p>
    <w:p>
      <w:pPr>
        <w:ind w:firstLine="560"/>
      </w:pPr>
      <w:bookmarkStart w:id="3" w:name="_Toc6992"/>
      <w:r>
        <w:rPr>
          <w:rFonts w:hint="eastAsia"/>
          <w:lang w:val="en-US" w:eastAsia="zh-CN"/>
        </w:rPr>
        <w:t>根据《中华人民共和国预算法》规定，按照《中共山西省委 山西省人民政府关于全面实施预算绩效管理的实施意见》 （晋发〔2018〕39号）、山西省财政厅《省级项目支出绩效评价管理办法》（晋财绩〔2020〕17号）的要求，受宁武县财政局委托，山西亚泰会计师事务所有限公司对宁武县畜牧兽医中心2020年统筹整合财政资金开展了绩效评价，现将有关情况报告如下</w:t>
      </w:r>
      <w:r>
        <w:rPr>
          <w:rFonts w:hint="eastAsia"/>
        </w:rPr>
        <w:t>。</w:t>
      </w:r>
    </w:p>
    <w:p>
      <w:pPr>
        <w:pStyle w:val="4"/>
        <w:ind w:firstLine="560"/>
        <w:rPr>
          <w:b w:val="0"/>
          <w:bCs/>
        </w:rPr>
      </w:pPr>
      <w:bookmarkStart w:id="4" w:name="_Toc26885"/>
      <w:r>
        <w:rPr>
          <w:rFonts w:hint="eastAsia"/>
          <w:b w:val="0"/>
          <w:bCs/>
        </w:rPr>
        <w:t>一、基本情况</w:t>
      </w:r>
      <w:bookmarkEnd w:id="3"/>
      <w:bookmarkEnd w:id="4"/>
    </w:p>
    <w:p>
      <w:pPr>
        <w:pStyle w:val="5"/>
        <w:ind w:firstLine="560"/>
      </w:pPr>
      <w:bookmarkStart w:id="5" w:name="_Toc5574"/>
      <w:bookmarkStart w:id="6" w:name="_Toc2041"/>
      <w:r>
        <w:rPr>
          <w:rFonts w:hint="eastAsia"/>
        </w:rPr>
        <w:t>（一）项目概况</w:t>
      </w:r>
      <w:bookmarkEnd w:id="5"/>
      <w:bookmarkEnd w:id="6"/>
    </w:p>
    <w:p>
      <w:pPr>
        <w:pStyle w:val="6"/>
        <w:ind w:firstLine="562"/>
      </w:pPr>
      <w:r>
        <w:rPr>
          <w:rFonts w:hint="eastAsia"/>
        </w:rPr>
        <w:t>1.项目背景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国务院办公厅印发《关于稳定生猪生产促进转型升级的意见》提出，要稳定当前生猪生产，鼓励地方结合实际加大生猪生产扶持力度，规范禁养区划定与管理，保障种猪、仔猪及生猪产品有序调运，持续加强非洲猪瘟防控，加强生猪产销监测，完善市场调控机制。要加快构建现代养殖体系，大力发展标准化规模养殖，积极带动中小养猪场（户）发展，推动生猪生产科技进步，加快养殖废弃物资源化利用，加大对生猪主产区支持力度。要完善动物疫病防控体系，提升动物疫病防控能力，强化疫病检测和动物检疫，加强基层动物防疫队伍建设。要健全现代生猪流通体系，加快屠宰行业提档升级，变革传统生猪调运方式，加强冷链物流基础设施建设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山西省农业农村厅2020年计划：山西省生猪生产虽然还没有完全恢复到常年的水平，但在政策和效益的双重激励下，中小生猪养殖户的生产积极性正在被调动，特别是一些龙头企业近期扩产的速度加快，生猪饲养量增加迅速。2020年，要千方百计扩大生猪产能，加快42个生猪规模化养殖场建设，积极引进、培育大型生猪养殖企业，完成800万头生猪出栏任务，基本恢复到接近正常年份水平。同时，引导生猪屠宰加工向养殖集中区转移，力争改造10个以上屠宰场，新增屠宰能力100万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根据《宁武县百村百场生猪养殖扶贫项目可行性研究报告》和《宁武县行政审批服务管理局关于〈宁武县百村百场生猪养殖扶贫项目可行性研究报告（代项目建议书）〉的批复》（宁审管发〔2020〕54号）文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，宁武县百村百场生猪养殖扶贫项目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在宁武县新建年出栏2000头育肥猪场100个，项目计划分三期进行建设</w:t>
      </w:r>
      <w:r>
        <w:rPr>
          <w:rFonts w:hint="eastAsia" w:hAnsi="仿宋_GB2312" w:cs="仿宋_GB2312"/>
          <w:sz w:val="28"/>
          <w:szCs w:val="28"/>
          <w:lang w:val="en-US" w:eastAsia="zh-CN"/>
        </w:rPr>
        <w:t>。</w:t>
      </w:r>
    </w:p>
    <w:p>
      <w:pPr>
        <w:pStyle w:val="5"/>
        <w:ind w:firstLine="56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（二）主要内容及实施情况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7" w:name="_Toc646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（1）主要建设内容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2020年宁武县共实施3个项目，项目主要建设内容如下：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①根据《宁武县百村百场生猪养殖扶贫项目可行性研究报告》和《宁武县行政审批服务管理局关于〈宁武县百村百场生猪养殖扶贫项目可行性研究报告（代项目建议书）〉的批复》（宁审管发〔2020〕54号）文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，宁武县百村百场生猪养殖扶贫项目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在宁武县新建年出栏2000头育肥猪场100个，项目计划分三期进行建设，其中：一期2020年建设32个育肥猪场；二期2021年、三期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2022</w:t>
      </w:r>
      <w:r>
        <w:rPr>
          <w:rFonts w:hint="eastAsia" w:hAnsi="仿宋_GB2312" w:cs="仿宋_GB2312"/>
          <w:sz w:val="28"/>
          <w:szCs w:val="28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建设剩余的68个育肥猪场。每个猪场建筑主要有存栏1000头生猪的育肥猪舍一栋，集办公、宿舍、食堂为一体的综合用房一栋，饲料库、锅炉房、厕所、消毒间及排水管线、污水管线、化粪池等其他附属工程。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根据《宁武县行政审批服务管理局关于〈宁武县百村百场生猪养殖扶贫项目（一期）初步设计〉的批复》（宁审管发〔2020〕100号）文件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，宁武县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百村百场生猪养殖扶贫项目第一期在宁武县建设32个育肥猪场，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每场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建筑909.17㎡，每场主要建筑有存栏1000头生猪的育肥猪舍一栋，建筑面积820.56㎡，管理用房、锅炉房、食堂、厕所建筑面积59.28㎡，饲料间建筑面积29.33㎡，及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供电、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给排水管线、污水管线、供热管线、化粪池、院面硬化、围墙等其他附属工程。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②百村百场生猪养殖扶贫项目（第一期）基础设施配套项目为标准生猪养殖场每场配套水电暖等基础设施，每个猪场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拨付配套资金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③发展牛、驴产业补助项目对2019年度引进的基础牛、驴及合作社给予20%的补助及奖补，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对全县2019年引进的228头基础牛、驴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发放补贴资金。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实际建设进度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①宁武县百村百场生猪养殖扶贫项目（一期）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项目实际实施过程中由于用地手续、项目选址等问题，实际建设25个猪场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在经过设计、勘察等前期工作后，经代理招标公司公开招标，确定8个建设单位负责项目11个标段的现场施工，具体各标段施工情况见表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1-1。</w:t>
      </w:r>
    </w:p>
    <w:p>
      <w:pPr>
        <w:pStyle w:val="2"/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表1-1 宁武县百村百场生猪养殖扶贫项目（一期）各标段施工地点</w:t>
      </w:r>
    </w:p>
    <w:tbl>
      <w:tblPr>
        <w:tblStyle w:val="17"/>
        <w:tblW w:w="8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49"/>
        <w:gridCol w:w="448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vMerge w:val="restart"/>
            <w:tcBorders>
              <w:top w:val="double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标段</w:t>
            </w:r>
          </w:p>
        </w:tc>
        <w:tc>
          <w:tcPr>
            <w:tcW w:w="5737" w:type="dxa"/>
            <w:gridSpan w:val="2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施工地点</w:t>
            </w:r>
          </w:p>
        </w:tc>
        <w:tc>
          <w:tcPr>
            <w:tcW w:w="1808" w:type="dxa"/>
            <w:vMerge w:val="restart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中标金额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村</w:t>
            </w:r>
          </w:p>
        </w:tc>
        <w:tc>
          <w:tcPr>
            <w:tcW w:w="1808" w:type="dxa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凤凰镇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小庄子村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阳方口镇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大洼村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怀道乡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南沟只村、谢家坪村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余庄乡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东沟村、黄土坡村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278.70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东寨镇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宫家庄村、南岔村、石辉沟村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薛家洼乡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洪河村、贾家窑村、下白泉村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东马坊乡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庄旺村、回官石村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迭台寺乡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马圈湾村、西岭村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256.60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化北屯乡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张家庄村、丁家沟村、牛心会村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石家庄乡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潘家湾村、阳方村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11标段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新堡乡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新堡村、赵家沟村、刘家沟村、炭窑沟村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0" w:type="dxa"/>
            <w:tcBorders>
              <w:top w:val="dotted" w:color="auto" w:sz="4" w:space="0"/>
              <w:left w:val="nil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49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488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808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3314.29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项目其他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利益相关方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表1-2。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表1-2 项目其他利益相关方</w:t>
      </w:r>
    </w:p>
    <w:tbl>
      <w:tblPr>
        <w:tblStyle w:val="1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960"/>
        <w:gridCol w:w="2244"/>
        <w:gridCol w:w="309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64" w:type="dxa"/>
            <w:tcBorders>
              <w:top w:val="double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960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标段</w:t>
            </w:r>
          </w:p>
        </w:tc>
        <w:tc>
          <w:tcPr>
            <w:tcW w:w="2244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承包方</w:t>
            </w:r>
          </w:p>
        </w:tc>
        <w:tc>
          <w:tcPr>
            <w:tcW w:w="3090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主要建设内容</w:t>
            </w:r>
          </w:p>
        </w:tc>
        <w:tc>
          <w:tcPr>
            <w:tcW w:w="1464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restart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监理工作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1标段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山西龙腾工程监理有限公司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建设工程1/2/4/6标段监理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2标段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太原天佑工程项目管理有限公司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建设工程5/9标段监理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3标段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山西宏强建设工程监理有限公司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建设工程10/11标段监理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Merge w:val="continue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4标段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山西宏强建设工程监理有限公司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建设工程3/7/8标段监理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测绘工作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山西中天大地测绘有限公司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猪场用地选址界线测绘及地形图测绘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勘察工作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太原建材地质工程勘察院有限公司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项目勘察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设计工作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忻州市建筑设计院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猪场设计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造价工作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华盛信泰工程项目管理有限公司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招标控制价及清单编制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咨询工作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容海川城乡规划设计有限公司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项目可行性研究报告编制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tcBorders>
              <w:top w:val="dotted" w:color="auto" w:sz="4" w:space="0"/>
              <w:left w:val="nil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60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2244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3090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464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326.78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②百村百场生猪养殖扶贫项目（第一期）基础设施配套项目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2020年12月31日，所有猪场基础设施配套资金全部到位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，发放到11个乡镇25个猪场共计500万元，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用于配套猪场基础设施。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③发展牛、驴产业补助项目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2020年12月31日，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对全县2019年引进的228头基础母牛、驴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发放补贴资金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16.08万元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，补贴基础母牛、驴228头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pStyle w:val="5"/>
        <w:ind w:firstLine="5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（三）资金投入和使用情况</w:t>
      </w:r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宁武县畜牧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兽医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中心2020年度共下达统筹整合资金共3</w:t>
      </w:r>
      <w:r>
        <w:rPr>
          <w:rFonts w:hint="eastAsia" w:hAnsi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736.26万元</w:t>
      </w:r>
      <w:r>
        <w:rPr>
          <w:rFonts w:hint="eastAsia" w:hAnsi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实际支出3</w:t>
      </w:r>
      <w:r>
        <w:rPr>
          <w:rFonts w:hint="eastAsia" w:hAnsi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620.60万元，结余资金115.66万元，预算执行率为96.90%。具体资金投入及使用情况如表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1-3。 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表1-3 2020年统筹整合资金投入及支出情况</w:t>
      </w:r>
    </w:p>
    <w:tbl>
      <w:tblPr>
        <w:tblStyle w:val="17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6"/>
        <w:gridCol w:w="1176"/>
        <w:gridCol w:w="1236"/>
        <w:gridCol w:w="119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486" w:type="dxa"/>
            <w:tcBorders>
              <w:top w:val="double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176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2020年投入资金</w:t>
            </w:r>
          </w:p>
        </w:tc>
        <w:tc>
          <w:tcPr>
            <w:tcW w:w="1236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2020年使用资金</w:t>
            </w:r>
          </w:p>
        </w:tc>
        <w:tc>
          <w:tcPr>
            <w:tcW w:w="1193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2020年结余资金</w:t>
            </w:r>
          </w:p>
        </w:tc>
        <w:tc>
          <w:tcPr>
            <w:tcW w:w="1427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2020年预算执行率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百村百场生猪养殖扶贫项目（第一期）</w:t>
            </w:r>
          </w:p>
        </w:tc>
        <w:tc>
          <w:tcPr>
            <w:tcW w:w="11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3，200.00</w:t>
            </w:r>
          </w:p>
        </w:tc>
        <w:tc>
          <w:tcPr>
            <w:tcW w:w="123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3,104.52</w:t>
            </w:r>
          </w:p>
        </w:tc>
        <w:tc>
          <w:tcPr>
            <w:tcW w:w="11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95.48</w:t>
            </w:r>
          </w:p>
        </w:tc>
        <w:tc>
          <w:tcPr>
            <w:tcW w:w="14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百村百场生猪养殖扶贫项目（第一期）基础设施配套项目</w:t>
            </w:r>
          </w:p>
        </w:tc>
        <w:tc>
          <w:tcPr>
            <w:tcW w:w="11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520.00</w:t>
            </w:r>
          </w:p>
        </w:tc>
        <w:tc>
          <w:tcPr>
            <w:tcW w:w="123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500.00</w:t>
            </w:r>
          </w:p>
        </w:tc>
        <w:tc>
          <w:tcPr>
            <w:tcW w:w="11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4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6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发展牛、驴产业补助项目</w:t>
            </w:r>
          </w:p>
        </w:tc>
        <w:tc>
          <w:tcPr>
            <w:tcW w:w="11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16.26</w:t>
            </w:r>
          </w:p>
        </w:tc>
        <w:tc>
          <w:tcPr>
            <w:tcW w:w="123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16.08</w:t>
            </w:r>
          </w:p>
        </w:tc>
        <w:tc>
          <w:tcPr>
            <w:tcW w:w="119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142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6" w:type="dxa"/>
            <w:tcBorders>
              <w:top w:val="dotted" w:color="auto" w:sz="4" w:space="0"/>
              <w:left w:val="nil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76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= sum(B2:B4) \* MERGEFORMAT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3，736.26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36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instrText xml:space="preserve"> = sum(C2:C4) \* MERGEFORMAT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3，620.6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93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115.66</w:t>
            </w:r>
          </w:p>
        </w:tc>
        <w:tc>
          <w:tcPr>
            <w:tcW w:w="1427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96.90%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（1）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根据《宁武县财政局关于下达宁武县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村百场生猪养殖扶贫项目（一期）资金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的通知》（宁财农整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〔2020〕91号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）文件，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百村百场生猪养殖扶贫项目（第一期）总投资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hAnsi="仿宋_GB2312" w:cs="仿宋_GB2312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489.68万元，2020年下达资金3</w:t>
      </w:r>
      <w:r>
        <w:rPr>
          <w:rFonts w:hint="eastAsia" w:hAnsi="仿宋_GB2312" w:cs="仿宋_GB2312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200.00万元，实际支出3</w:t>
      </w:r>
      <w:r>
        <w:rPr>
          <w:rFonts w:hint="eastAsia" w:hAnsi="仿宋_GB2312" w:cs="仿宋_GB2312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104.52万元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，结余95.48万元。其中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工程款2814.56万元，监理、设计测绘等费用289.67万元，具体金额支出明细如表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1-4。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/>
        <w:ind w:left="0" w:leftChars="0" w:right="0" w:rightChars="0"/>
        <w:jc w:val="center"/>
        <w:textAlignment w:val="auto"/>
        <w:outlineLvl w:val="9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表1-4 宁武县村百场生猪养殖扶贫项目（一期）资金支出明细</w:t>
      </w:r>
    </w:p>
    <w:tbl>
      <w:tblPr>
        <w:tblStyle w:val="17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014"/>
        <w:gridCol w:w="3684"/>
        <w:gridCol w:w="1392"/>
        <w:gridCol w:w="1183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792" w:type="dxa"/>
            <w:tcBorders>
              <w:top w:val="double" w:color="auto" w:sz="4" w:space="0"/>
              <w:left w:val="nil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合同类型</w:t>
            </w:r>
          </w:p>
        </w:tc>
        <w:tc>
          <w:tcPr>
            <w:tcW w:w="1014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标段</w:t>
            </w:r>
          </w:p>
        </w:tc>
        <w:tc>
          <w:tcPr>
            <w:tcW w:w="3684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承包方</w:t>
            </w:r>
          </w:p>
        </w:tc>
        <w:tc>
          <w:tcPr>
            <w:tcW w:w="1392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中标金额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（合同金额）</w:t>
            </w:r>
          </w:p>
        </w:tc>
        <w:tc>
          <w:tcPr>
            <w:tcW w:w="1183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支付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764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坤山建设工程有限公司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139.04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118.17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山西龙典盛宇建设有限公司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133.21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113.00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山西龙典盛宇建设有限公司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275.47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233.51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山西兴瑞达建筑工程有限公司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278.70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236.29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山西兴瑞达建筑工程有限公司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392.16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332.69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山西宁新建设工程有限公司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396.35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336.90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山西祥宏建筑装潢有限公司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264.59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224.90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山西鸿源建设集团有限公司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256.60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218.11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山西瑞坤建设工程有限公司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387.67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329.52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山西诚林建设工程集团有限公司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264.88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225.00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山西宁新建设工程有限公司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525.62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446.78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--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3,314.29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2,814.86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山西龙腾工程监理有限公司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15.72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12.58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太原天佑工程项目管理有限公司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13.09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10.47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山西宏强建设工程监理有限公司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12.85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10.28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4标段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山西宏强建设工程监理有限公司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12.95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10.36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山西中天大地测绘有限公司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72.80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太原建材地质工程勘察院有限公司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63.50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57.15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忻州市建筑设计院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99.19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造价咨询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华盛信泰工程项目管理有限公司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11.68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11.68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咨询合同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容海川城乡规划设计有限公司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25.00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326.78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289.67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tcBorders>
              <w:top w:val="dotted" w:color="auto" w:sz="4" w:space="0"/>
              <w:left w:val="nil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14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3684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1392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3,641.06</w:t>
            </w:r>
          </w:p>
        </w:tc>
        <w:tc>
          <w:tcPr>
            <w:tcW w:w="1183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3,104.52</w:t>
            </w:r>
          </w:p>
        </w:tc>
        <w:tc>
          <w:tcPr>
            <w:tcW w:w="764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（2）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根据《宁武县财政局关于下达</w:t>
      </w:r>
      <w:r>
        <w:rPr>
          <w:rFonts w:hint="eastAsia" w:ascii="仿宋_GB2312" w:hAnsi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宁武县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百村百场生猪养殖扶贫项目（第一期）基础设施配套项目资金的通知》（宁财农整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〔2020〕93号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）文件，百村百场生猪养殖扶贫项目（第一期）基础设施配套项目2020年投入资金520万元，实际支出500万元，结余20万元。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具体金额支出明细如表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1-5。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表1-5 宁武县百村百场生猪养殖扶贫项目（第一期）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基础设施配套项目资金支出明细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     金额单位：万元</w:t>
      </w:r>
    </w:p>
    <w:tbl>
      <w:tblPr>
        <w:tblStyle w:val="17"/>
        <w:tblW w:w="8522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4"/>
        <w:gridCol w:w="1884"/>
        <w:gridCol w:w="143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204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收款方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补贴猪场数量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宁武县迭台寺乡农村三资代理服务中心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宁武县薛家洼乡农村三资代理服务中心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宁武县东寨镇农村三资代理服务中心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宁武县石家庄镇农村三资代理服务中心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宁武县化北屯乡农村三资代理服务中心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宁武县怀道乡农村三资代理服务中心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宁武县余庄乡农村三资代理服务中心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宁武县凤凰镇乡农村三资代理服务中心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宁武县新堡乡农村三资代理服务中心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宁武县阳方口工矿镇农村三资代理服务中心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宁武县东马坊乡农村三资代理服务中心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sum(B2:B12)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sum(C2:C12)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（3）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根据《宁武县财政局关于下达发展牛、驴产业补助资金的通知》（宁财农整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〔2020〕92号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）文件，下达发展牛、驴产业补助2020年补助资金16.26万元，实际支出16.08万元，结余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0.18万元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。具体金额支出明细如下表</w:t>
      </w:r>
      <w:r>
        <w:rPr>
          <w:rFonts w:hint="eastAsia" w:ascii="仿宋_GB2312" w:hAnsi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1-6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表1-6 发展牛、驴产业补助资金支出明细</w:t>
      </w:r>
    </w:p>
    <w:tbl>
      <w:tblPr>
        <w:tblStyle w:val="17"/>
        <w:tblW w:w="8727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1547"/>
        <w:gridCol w:w="1578"/>
        <w:gridCol w:w="1646"/>
        <w:gridCol w:w="149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461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收款方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2019年引进数量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（单位：头）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2020年存活数量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（单位：头）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2020年补贴数量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（单位：头）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宁武县牛犇种养殖专业合作社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宁武县永达种养殖专业合作社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9.72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宁武县凤凰镇乡农村三资代理服务中心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1.80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宁武县怀道乡农村三资代理服务中心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宁武县新堡乡农村三资代理服务中心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宁武县迭台寺乡农村三资代理服务中心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sum(B2:B7)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7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sum(C2:C7)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sum(D2:D7)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16.08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</w:pPr>
      <w:bookmarkStart w:id="8" w:name="_Toc11192"/>
      <w:bookmarkStart w:id="9" w:name="_Toc21984"/>
      <w:bookmarkStart w:id="10" w:name="_Toc9016"/>
      <w:r>
        <w:rPr>
          <w:rFonts w:hint="eastAsia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）项目绩效目标</w:t>
      </w:r>
      <w:bookmarkEnd w:id="8"/>
      <w:bookmarkEnd w:id="9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通过对宁武县畜牧兽医中心提供项目资料的核查，将项目绩效目标梳理为以下内容。</w:t>
      </w:r>
    </w:p>
    <w:p>
      <w:pPr>
        <w:pStyle w:val="6"/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1.总体目标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2"/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百村百场生猪养殖扶贫项目（第一期）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截至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2020年12月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31日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，25个猪场全部建设完成达到验收标准，每个猪场成本不超过128万。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2"/>
        <w:rPr>
          <w:rFonts w:hint="default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百村百场生猪养殖扶贫项目（第一期）基础设施配套项目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猪场建设完成后，每个生猪养殖场配套20万元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，共计500万元，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用于水电暖基础设施配套。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2"/>
        <w:rPr>
          <w:rFonts w:hint="default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发展牛、驴产业补助项目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autoSpaceDE/>
        <w:autoSpaceDN/>
        <w:bidi w:val="0"/>
        <w:adjustRightInd/>
        <w:snapToGrid/>
        <w:spacing w:before="0"/>
        <w:ind w:left="0" w:leftChars="0" w:right="0" w:rightChars="0" w:firstLine="560" w:firstLineChars="200"/>
        <w:textAlignment w:val="auto"/>
        <w:rPr>
          <w:rFonts w:hint="eastAsia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对228头基础牛、驴给予补贴标准20%的补贴金额</w:t>
      </w:r>
      <w:r>
        <w:rPr>
          <w:rFonts w:hint="eastAsia" w:cs="仿宋_GB2312"/>
          <w:kern w:val="2"/>
          <w:sz w:val="28"/>
          <w:szCs w:val="28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2.具体目标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2"/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百村百场生猪养殖扶贫项目（第一期）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经济效益目标：猪场投入运营后带动增加生猪产业总值≥1亿元，带动贫困人员年增收总额240万元；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社会效益目标：带动贫困户户数700户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可持续效益目标：扩大生猪养殖规模，优化本地生猪养殖产业结构，创新猪场运营模式。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2"/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百村百场生猪养殖扶贫项目（第一期）基础设施配套项目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经济效益目标：猪场投入运营后带动增加生猪产业总值≥1亿元，带动贫困人员年增收总额240万元；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社会效益目标：带动贫困户户数700户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可持续效益目标：扩大生猪养殖规模，优化本地生猪养殖产业结构，创新猪场运营模式。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2"/>
        <w:rPr>
          <w:rFonts w:hint="default" w:ascii="仿宋_GB2312" w:hAnsi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hAnsi="仿宋_GB2312" w:cs="仿宋_GB2312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发展牛、驴产业补助项目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leftChars="0" w:right="0" w:rightChars="0" w:firstLine="560" w:firstLineChars="200"/>
        <w:textAlignment w:val="auto"/>
        <w:rPr>
          <w:rFonts w:hint="eastAsia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cs="仿宋_GB2312"/>
          <w:kern w:val="2"/>
          <w:sz w:val="28"/>
          <w:szCs w:val="28"/>
          <w:lang w:val="en-US" w:eastAsia="zh-CN" w:bidi="ar-SA"/>
        </w:rPr>
        <w:t>经济效益目标：带动增加牛、驴产业总产值≥150万元；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leftChars="0" w:right="0" w:rightChars="0" w:firstLine="560" w:firstLineChars="200"/>
        <w:textAlignment w:val="auto"/>
        <w:rPr>
          <w:rFonts w:hint="eastAsia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cs="仿宋_GB2312"/>
          <w:kern w:val="2"/>
          <w:sz w:val="28"/>
          <w:szCs w:val="28"/>
          <w:lang w:val="en-US" w:eastAsia="zh-CN" w:bidi="ar-SA"/>
        </w:rPr>
        <w:t>社会效益目标：带动贫困人口就业人数≥40人，带动贫困户77户；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left="0" w:leftChars="0" w:right="0" w:rightChars="0" w:firstLine="560" w:firstLineChars="200"/>
        <w:textAlignment w:val="auto"/>
        <w:rPr>
          <w:rFonts w:hint="default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可持续效益目标：优化</w:t>
      </w:r>
      <w:r>
        <w:rPr>
          <w:rFonts w:hint="eastAsia" w:cs="仿宋_GB2312"/>
          <w:sz w:val="28"/>
          <w:szCs w:val="28"/>
          <w:lang w:val="en-US" w:eastAsia="zh-CN"/>
        </w:rPr>
        <w:t>农村养殖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产业结构。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11" w:name="_Toc30355"/>
      <w:r>
        <w:rPr>
          <w:rFonts w:hint="eastAsia"/>
        </w:rPr>
        <w:t>二、绩效评价工作情况</w:t>
      </w:r>
      <w:bookmarkEnd w:id="10"/>
      <w:bookmarkEnd w:id="11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560"/>
        <w:textAlignment w:val="auto"/>
      </w:pPr>
      <w:bookmarkStart w:id="12" w:name="_Toc453771161"/>
      <w:bookmarkStart w:id="13" w:name="_Toc26925"/>
      <w:bookmarkStart w:id="14" w:name="_Toc25672"/>
      <w:bookmarkStart w:id="15" w:name="_Toc15520"/>
      <w:bookmarkStart w:id="16" w:name="_Toc5521"/>
      <w:bookmarkStart w:id="17" w:name="_Toc7828"/>
      <w:bookmarkStart w:id="18" w:name="_Toc16373"/>
      <w:bookmarkStart w:id="19" w:name="_Toc5427"/>
      <w:bookmarkStart w:id="20" w:name="_Toc6614"/>
      <w:bookmarkStart w:id="21" w:name="_Toc12882"/>
      <w:bookmarkStart w:id="22" w:name="_Toc1863"/>
      <w:bookmarkStart w:id="23" w:name="_Toc26830"/>
      <w:bookmarkStart w:id="24" w:name="_Toc29023"/>
      <w:bookmarkStart w:id="25" w:name="_Toc18140"/>
      <w:bookmarkStart w:id="26" w:name="_Toc453771162"/>
      <w:bookmarkStart w:id="27" w:name="_Toc5323"/>
      <w:r>
        <w:rPr>
          <w:rFonts w:hint="eastAsia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）评价目</w:t>
      </w:r>
      <w:bookmarkEnd w:id="12"/>
      <w:bookmarkEnd w:id="13"/>
      <w:r>
        <w:rPr>
          <w:rFonts w:hint="eastAsia"/>
        </w:rPr>
        <w:t>的</w:t>
      </w:r>
      <w:bookmarkEnd w:id="14"/>
      <w:bookmarkEnd w:id="15"/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根据绩效评价中发现的问题，分析原因，提出建议，为财政部门规范和加强财政专项扶贫资金管理，提高资金使用效益，科学配置资源，提高财政资金的使用效益，为合理安排以后年度财政预算安排提供重要的参考依据。</w:t>
      </w:r>
    </w:p>
    <w:bookmarkEnd w:id="2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eastAsia="楷体_GB2312"/>
          <w:lang w:val="en-US" w:eastAsia="zh-CN"/>
        </w:rPr>
      </w:pPr>
      <w:bookmarkStart w:id="28" w:name="_Toc5726"/>
      <w:r>
        <w:rPr>
          <w:rFonts w:hint="eastAsia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）评价</w:t>
      </w:r>
      <w:bookmarkStart w:id="85" w:name="_GoBack"/>
      <w:bookmarkEnd w:id="85"/>
      <w:r>
        <w:rPr>
          <w:rFonts w:hint="eastAsia"/>
        </w:rPr>
        <w:t>对象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范围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29" w:name="_Toc32222"/>
      <w:bookmarkStart w:id="30" w:name="_Toc20040"/>
      <w:bookmarkStart w:id="31" w:name="_Toc27629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本次绩效评价的对象是宁武县畜牧兽医中心2020年统筹整合资金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及统筹整合资金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hAnsi="仿宋_GB2312" w:cs="仿宋_GB2312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736.26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万元，对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项目建设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情况、产出效益、资金使用及监督管理进行综合评价，总结经验、找出问题并提出相关建议。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绩效评价的范围是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宁武县畜牧兽医中心2020年统筹整合资金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及统筹整合</w:t>
      </w:r>
      <w:r>
        <w:rPr>
          <w:rFonts w:hint="eastAsia" w:hAnsi="仿宋_GB2312" w:cs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资金产生的绩效以及为产生绩效所经历的各环节过程，具体绩效评价范围包括项目决策、过程、产出、效益。</w:t>
      </w:r>
    </w:p>
    <w:p>
      <w:pPr>
        <w:pStyle w:val="5"/>
        <w:ind w:firstLine="560"/>
        <w:rPr>
          <w:rFonts w:hint="default"/>
          <w:lang w:val="en-US" w:eastAsia="zh-CN"/>
        </w:rPr>
      </w:pPr>
      <w:bookmarkStart w:id="32" w:name="_Toc27309"/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三）评价基准日</w:t>
      </w:r>
      <w:bookmarkEnd w:id="29"/>
      <w:bookmarkEnd w:id="30"/>
      <w:bookmarkEnd w:id="31"/>
      <w:bookmarkEnd w:id="3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textAlignment w:val="auto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8"/>
          <w:szCs w:val="24"/>
          <w:highlight w:val="none"/>
          <w:lang w:val="en-US" w:eastAsia="zh-CN" w:bidi="ar-SA"/>
        </w:rPr>
        <w:t>本次绩效评价</w:t>
      </w:r>
      <w:r>
        <w:rPr>
          <w:rFonts w:hint="eastAsia"/>
          <w:lang w:val="en-US" w:eastAsia="zh-CN"/>
        </w:rPr>
        <w:t>基准日是2020年12月31日。</w:t>
      </w:r>
    </w:p>
    <w:p>
      <w:pPr>
        <w:pStyle w:val="5"/>
        <w:ind w:firstLine="560"/>
      </w:pPr>
      <w:bookmarkStart w:id="33" w:name="_Toc15506"/>
      <w:bookmarkStart w:id="34" w:name="_Toc30588"/>
      <w:bookmarkStart w:id="35" w:name="_Toc4669"/>
      <w:bookmarkStart w:id="36" w:name="_Toc1535"/>
      <w:bookmarkStart w:id="37" w:name="_Toc18405"/>
      <w:bookmarkStart w:id="38" w:name="_Toc25687"/>
      <w:bookmarkStart w:id="39" w:name="_Toc28304"/>
      <w:bookmarkStart w:id="40" w:name="_Toc395"/>
      <w:bookmarkStart w:id="41" w:name="_Toc3630"/>
      <w:r>
        <w:rPr>
          <w:rFonts w:hint="eastAsia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）绩效评价指标体系</w:t>
      </w:r>
      <w:bookmarkEnd w:id="33"/>
      <w:bookmarkEnd w:id="34"/>
      <w:bookmarkEnd w:id="35"/>
    </w:p>
    <w:p>
      <w:pPr>
        <w:pStyle w:val="6"/>
        <w:ind w:firstLine="56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1.指标体系设计思路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参照绩效评价的基本原理、原则和项目特点，评价组结合《财政支出绩效评价管理办法》（财预〔2020〕10号）、《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山西省财政厅关于印发 &lt;省级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项目支出绩效评价管理办法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&gt;的通知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》（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晋财绩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〔2020〕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号）等文件的要求，从决策类（包括项目立项、绩效目标、资金投入）、过程类（包括资金管理、组织实施）、产出类（包括产出数量、产出质量、产出时效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、产出成本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）、效益类（包括项目效益、可持续性）四个维度进行评价。</w:t>
      </w:r>
    </w:p>
    <w:p>
      <w:pPr>
        <w:pStyle w:val="6"/>
        <w:ind w:firstLine="56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2.指标体系具体内容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/>
        <w:ind w:lef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指标体系由4项一级指标、1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项二级指标、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项三级指标构成。数据主要来源于政策文件、制度文件、档案资料、基础表、访谈等。决策类指标占权重分20分，从项目立项、绩效目标、资金投入三个角度考核项目立项依据充分性和立项程序规范性、绩效目标合理性、绩效指标明确性以及预算编制科学性、资金分配合理性的情况。过程类指标占权重分20分，从资金管理和组织实施两个角度考核项目资金到位率、预算执行率、资金使用合规性、管理制度健全性、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制度执行有效性等角度分析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。产出类指标占权重分30分，从产出数量、产出质量、产出时效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、产出成本四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个角度考核项目完成情况、项目质量达标情况、项目完成时效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、项目成本节约率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。效益类指标占权重分30分，从项目的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经济效益、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社会效益、可持续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影响、满意度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进行考核。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2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3.绩效评价等级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/>
        <w:textAlignment w:val="auto"/>
        <w:rPr>
          <w:rFonts w:hint="eastAsia" w:hAnsi="仿宋" w:cs="仿宋"/>
          <w:bCs/>
          <w:lang w:eastAsia="zh-CN"/>
        </w:rPr>
      </w:pPr>
      <w:r>
        <w:rPr>
          <w:rFonts w:hint="eastAsia" w:hAnsi="仿宋" w:cs="仿宋"/>
          <w:bCs/>
        </w:rPr>
        <w:t>财政资金的绩效评价结果实行百分制，根据不同得分将评价结果划分为</w:t>
      </w:r>
      <w:r>
        <w:rPr>
          <w:rFonts w:hint="eastAsia" w:hAnsi="仿宋" w:cs="仿宋"/>
          <w:bCs/>
          <w:lang w:val="en-US" w:eastAsia="zh-CN"/>
        </w:rPr>
        <w:t>四</w:t>
      </w:r>
      <w:r>
        <w:rPr>
          <w:rFonts w:hint="eastAsia" w:hAnsi="仿宋" w:cs="仿宋"/>
          <w:bCs/>
        </w:rPr>
        <w:t>个等级，分别为：90（含）-100分为优，80（含）-90分为良，60（含）-80分为中，60分以下为差</w:t>
      </w:r>
      <w:r>
        <w:rPr>
          <w:rFonts w:hint="eastAsia" w:hAnsi="仿宋" w:cs="仿宋"/>
          <w:bCs/>
          <w:lang w:eastAsia="zh-CN"/>
        </w:rPr>
        <w:t>。</w:t>
      </w:r>
    </w:p>
    <w:bookmarkEnd w:id="36"/>
    <w:bookmarkEnd w:id="37"/>
    <w:bookmarkEnd w:id="38"/>
    <w:bookmarkEnd w:id="39"/>
    <w:bookmarkEnd w:id="40"/>
    <w:bookmarkEnd w:id="41"/>
    <w:p>
      <w:pPr>
        <w:pStyle w:val="5"/>
        <w:ind w:firstLine="560"/>
        <w:rPr>
          <w:rFonts w:hint="eastAsia"/>
          <w:lang w:val="en-US" w:eastAsia="zh-CN"/>
        </w:rPr>
      </w:pPr>
      <w:bookmarkStart w:id="42" w:name="_Toc29241"/>
      <w:bookmarkStart w:id="43" w:name="_Toc26799"/>
      <w:bookmarkStart w:id="44" w:name="_Toc28369"/>
      <w:bookmarkStart w:id="45" w:name="_Toc6654"/>
      <w:bookmarkStart w:id="46" w:name="_Toc9893"/>
      <w:bookmarkStart w:id="47" w:name="_Toc2515"/>
      <w:r>
        <w:rPr>
          <w:rFonts w:hint="eastAsia"/>
          <w:lang w:val="en-US" w:eastAsia="zh-CN"/>
        </w:rPr>
        <w:t>（五）绩效评价工作过程</w:t>
      </w:r>
      <w:bookmarkEnd w:id="42"/>
      <w:bookmarkEnd w:id="43"/>
      <w:bookmarkEnd w:id="44"/>
      <w:bookmarkEnd w:id="45"/>
    </w:p>
    <w:p>
      <w:pPr>
        <w:ind w:firstLine="560"/>
        <w:rPr>
          <w:rFonts w:hint="default" w:hAnsi="仿宋" w:cs="仿宋"/>
          <w:bCs/>
          <w:lang w:val="en-US" w:eastAsia="zh-CN"/>
        </w:rPr>
      </w:pPr>
      <w:r>
        <w:rPr>
          <w:rFonts w:hint="default" w:hAnsi="仿宋" w:cs="仿宋"/>
          <w:bCs/>
          <w:lang w:val="en-US" w:eastAsia="zh-CN"/>
        </w:rPr>
        <w:t>按照</w:t>
      </w:r>
      <w:r>
        <w:rPr>
          <w:rFonts w:hint="eastAsia" w:hAnsi="仿宋" w:cs="仿宋"/>
          <w:bCs/>
          <w:lang w:val="en-US" w:eastAsia="zh-CN"/>
        </w:rPr>
        <w:t>宁武县财政局</w:t>
      </w:r>
      <w:r>
        <w:rPr>
          <w:rFonts w:hint="default" w:hAnsi="仿宋" w:cs="仿宋"/>
          <w:bCs/>
          <w:lang w:val="en-US" w:eastAsia="zh-CN"/>
        </w:rPr>
        <w:t>的委托要求，我公司高度重视，积极筹备，成立项目领导组负责评价过程的协调和督导。领导组下设评价工作组，集合注册会计师、绩效评价师等多个专业于一体，切实结合本项目的特点，在实地调研阶段，设置现场评价小组，负责绩效评价方案的制定、资料收集整理、拟定评价指标、细化评分标准、开展社会调查、进行对象访谈、评价报告的撰写、审核和修改等具体工作。</w:t>
      </w:r>
    </w:p>
    <w:p>
      <w:pPr>
        <w:ind w:firstLine="560"/>
        <w:rPr>
          <w:rFonts w:hint="default" w:hAnsi="仿宋" w:cs="仿宋"/>
          <w:bCs/>
          <w:lang w:val="en-US" w:eastAsia="zh-CN"/>
        </w:rPr>
      </w:pPr>
      <w:r>
        <w:rPr>
          <w:rFonts w:hint="default" w:hAnsi="仿宋" w:cs="仿宋"/>
          <w:bCs/>
          <w:lang w:val="en-US" w:eastAsia="zh-CN"/>
        </w:rPr>
        <w:t>本次绩效评价工作分为评价准备阶段、组织实施阶段、报告撰写阶段三个阶段。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1.评价准备阶段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制定项目评价实施方案。在收集、审核资料的基础上，根据项目具体情况制定绩效评价实施方案，并拟定评价指标体系，细化评分标准。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2.组织实施阶段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（1）收集、审核资料。在全面收集资料的基础上，根据评价工作方案，对已收集的资料进行分类整理、审查和分析。</w:t>
      </w:r>
    </w:p>
    <w:p>
      <w:pPr>
        <w:pStyle w:val="1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（2）现场勘查。根据评价对象的特点和项目单位提供的数据资料，现场勘查项目建设情况及运营情况。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（3）综合评价。根据评价工作方案确定的评价指标、评价权重、评价标准和评价方法，对评价对象的情况进行全面的定量定性分析和综合评价，形成评价结论。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3.报告撰写阶段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（1）撰写评价报告。根据被评价单位的绩效评价情况，按要求撰写绩效评价报告。</w:t>
      </w:r>
    </w:p>
    <w:p>
      <w:pPr>
        <w:pStyle w:val="1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（2）与被评价部门（单位）交换意见。与被评价部门（单位）交换意见后，对报告进行修改完善，形成评价结论，将评价报告报送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宁武县财政局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审核。根据</w:t>
      </w:r>
      <w:r>
        <w:rPr>
          <w:rFonts w:hint="eastAsia" w:hAnsi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被评价单位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7"/>
          <w:highlight w:val="none"/>
          <w:lang w:val="en-US" w:eastAsia="zh-CN"/>
        </w:rPr>
        <w:t>意见进一步完善、修改绩效评价报告，并提交正式绩效评价报告。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eastAsia="黑体"/>
          <w:lang w:val="en-US" w:eastAsia="zh-CN"/>
        </w:rPr>
      </w:pPr>
      <w:bookmarkStart w:id="48" w:name="_Toc26628"/>
      <w:r>
        <w:rPr>
          <w:rFonts w:hint="eastAsia"/>
        </w:rPr>
        <w:t>三、</w:t>
      </w:r>
      <w:bookmarkEnd w:id="46"/>
      <w:bookmarkEnd w:id="47"/>
      <w:r>
        <w:rPr>
          <w:rFonts w:hint="eastAsia"/>
          <w:lang w:val="en-US" w:eastAsia="zh-CN"/>
        </w:rPr>
        <w:t>综合评价情况及评价结论</w:t>
      </w:r>
      <w:bookmarkEnd w:id="48"/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default" w:eastAsia="楷体_GB2312"/>
          <w:lang w:val="en-US" w:eastAsia="zh-CN"/>
        </w:rPr>
      </w:pPr>
      <w:bookmarkStart w:id="49" w:name="_Toc9894"/>
      <w:bookmarkStart w:id="50" w:name="_Toc3350"/>
      <w:bookmarkStart w:id="51" w:name="_Toc28348"/>
      <w:bookmarkStart w:id="52" w:name="_Toc20304"/>
      <w:bookmarkStart w:id="53" w:name="_Toc453771167"/>
      <w:bookmarkStart w:id="54" w:name="_Toc16955"/>
      <w:bookmarkStart w:id="55" w:name="_Toc26929"/>
      <w:bookmarkStart w:id="56" w:name="_Toc29458"/>
      <w:bookmarkStart w:id="57" w:name="_Toc6539"/>
      <w:bookmarkStart w:id="58" w:name="_Toc22708"/>
      <w:bookmarkStart w:id="59" w:name="_Toc21511"/>
      <w:r>
        <w:rPr>
          <w:rFonts w:hint="eastAsia"/>
        </w:rPr>
        <w:t>（一）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rPr>
          <w:rFonts w:hint="eastAsia"/>
          <w:lang w:val="en-US" w:eastAsia="zh-CN"/>
        </w:rPr>
        <w:t>综合评价情况</w:t>
      </w:r>
      <w:bookmarkEnd w:id="59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</w:pPr>
      <w:bookmarkStart w:id="60" w:name="_Toc12655"/>
      <w:bookmarkStart w:id="61" w:name="_Toc16417"/>
      <w:bookmarkStart w:id="62" w:name="_Toc31408"/>
      <w:bookmarkStart w:id="63" w:name="_Toc31779"/>
      <w:bookmarkStart w:id="64" w:name="_Toc28374"/>
      <w:bookmarkStart w:id="65" w:name="_Toc4476"/>
      <w:bookmarkStart w:id="66" w:name="_Toc453771170"/>
      <w:bookmarkStart w:id="67" w:name="_Toc2389"/>
      <w:bookmarkStart w:id="68" w:name="_Toc14575"/>
      <w:r>
        <w:rPr>
          <w:rFonts w:hint="eastAsia"/>
        </w:rPr>
        <w:t>本次评价以</w:t>
      </w:r>
      <w:r>
        <w:rPr>
          <w:rFonts w:hint="eastAsia"/>
          <w:lang w:eastAsia="zh-CN"/>
        </w:rPr>
        <w:t>2020年12月31日</w:t>
      </w:r>
      <w:r>
        <w:rPr>
          <w:rFonts w:hint="eastAsia"/>
        </w:rPr>
        <w:t>为评价基准日，采用比较法、综合指数评价法进行绩效评价，对</w:t>
      </w:r>
      <w:r>
        <w:rPr>
          <w:rFonts w:hint="eastAsia"/>
          <w:lang w:eastAsia="zh-CN"/>
        </w:rPr>
        <w:t>宁武</w:t>
      </w:r>
      <w:r>
        <w:rPr>
          <w:rFonts w:hint="eastAsia"/>
        </w:rPr>
        <w:t>县</w:t>
      </w:r>
      <w:r>
        <w:rPr>
          <w:rFonts w:hint="eastAsia"/>
          <w:lang w:val="en-US" w:eastAsia="zh-CN"/>
        </w:rPr>
        <w:t>畜牧兽医中心2020</w:t>
      </w:r>
      <w:r>
        <w:rPr>
          <w:rFonts w:hint="eastAsia"/>
        </w:rPr>
        <w:t>年财政统筹整合资金扶贫项目实施了现场核查、对比分析、指标评分、报告撰写等必要的评价程序，最终形成如下评价结果，详见表3-1。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  <w:lang w:eastAsia="zh-CN"/>
        </w:rPr>
        <w:t>宁武</w:t>
      </w:r>
      <w:r>
        <w:rPr>
          <w:rFonts w:hint="eastAsia"/>
        </w:rPr>
        <w:t>县</w:t>
      </w:r>
      <w:r>
        <w:rPr>
          <w:rFonts w:hint="eastAsia"/>
          <w:lang w:val="en-US" w:eastAsia="zh-CN"/>
        </w:rPr>
        <w:t>畜牧兽医中心2020</w:t>
      </w:r>
      <w:r>
        <w:rPr>
          <w:rFonts w:hint="eastAsia"/>
        </w:rPr>
        <w:t>年财政统筹整合资金扶贫项目绩效评价得分为</w:t>
      </w:r>
      <w:r>
        <w:rPr>
          <w:rFonts w:hint="eastAsia"/>
          <w:lang w:val="en-US" w:eastAsia="zh-CN"/>
        </w:rPr>
        <w:t>60.11</w:t>
      </w:r>
      <w:r>
        <w:rPr>
          <w:rFonts w:hint="eastAsia"/>
          <w:color w:val="auto"/>
        </w:rPr>
        <w:t>分，评价等级为“</w:t>
      </w:r>
      <w:r>
        <w:rPr>
          <w:rFonts w:hint="eastAsia"/>
          <w:color w:val="auto"/>
          <w:lang w:val="en-US" w:eastAsia="zh-CN"/>
        </w:rPr>
        <w:t>中</w:t>
      </w:r>
      <w:r>
        <w:rPr>
          <w:rFonts w:hint="eastAsia"/>
          <w:color w:val="auto"/>
        </w:rPr>
        <w:t>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ind w:firstLine="0" w:firstLineChars="0"/>
        <w:jc w:val="center"/>
        <w:textAlignment w:val="auto"/>
        <w:rPr>
          <w:rFonts w:hint="eastAsia" w:ascii="宋体" w:hAnsi="宋体" w:eastAsia="宋体"/>
          <w:lang w:bidi="ar"/>
        </w:rPr>
      </w:pPr>
      <w:r>
        <w:rPr>
          <w:rFonts w:hint="eastAsia" w:ascii="宋体" w:hAnsi="宋体" w:eastAsia="宋体"/>
          <w:lang w:bidi="ar"/>
        </w:rPr>
        <w:t>表3-1 项目总体绩效评价评分表</w:t>
      </w:r>
    </w:p>
    <w:tbl>
      <w:tblPr>
        <w:tblStyle w:val="16"/>
        <w:tblW w:w="8392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2098"/>
        <w:gridCol w:w="2098"/>
        <w:gridCol w:w="209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098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一级指标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权重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得分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</w:rPr>
              <w:t>得分率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决策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bidi="ar"/>
              </w:rPr>
              <w:t>20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19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过程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bidi="ar"/>
              </w:rPr>
              <w:t>20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16.91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84.55%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产出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bidi="ar"/>
              </w:rPr>
              <w:t>30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24.20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80.67%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效益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bidi="ar"/>
              </w:rPr>
              <w:t>30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合计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bidi="ar"/>
              </w:rPr>
              <w:t>100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60.11</w:t>
            </w:r>
          </w:p>
        </w:tc>
        <w:tc>
          <w:tcPr>
            <w:tcW w:w="209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60.11%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1"/>
        <w:rPr>
          <w:rFonts w:hint="eastAsia"/>
          <w:lang w:val="en-US" w:eastAsia="zh-CN"/>
        </w:rPr>
      </w:pPr>
      <w:bookmarkStart w:id="69" w:name="_Toc15339"/>
      <w:bookmarkStart w:id="70" w:name="_Toc15792"/>
      <w:bookmarkStart w:id="71" w:name="_Toc31436"/>
      <w:r>
        <w:rPr>
          <w:rFonts w:hint="eastAsia" w:ascii="Arial" w:hAnsi="Arial" w:eastAsia="楷体_GB2312" w:cstheme="minorBidi"/>
          <w:b w:val="0"/>
          <w:bCs w:val="0"/>
          <w:kern w:val="2"/>
          <w:sz w:val="28"/>
          <w:szCs w:val="24"/>
          <w:lang w:val="en-US" w:eastAsia="zh-CN" w:bidi="ar-SA"/>
        </w:rPr>
        <w:t>（二）评价结论</w:t>
      </w:r>
      <w:bookmarkEnd w:id="69"/>
      <w:r>
        <w:rPr>
          <w:rFonts w:hint="eastAsia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cs="仿宋_GB2312"/>
          <w:sz w:val="28"/>
          <w:szCs w:val="28"/>
          <w:lang w:val="en-US" w:eastAsia="zh-CN"/>
        </w:rPr>
      </w:pPr>
      <w:r>
        <w:rPr>
          <w:rFonts w:hint="eastAsia" w:cs="仿宋_GB2312"/>
          <w:sz w:val="28"/>
          <w:szCs w:val="28"/>
          <w:lang w:val="en-US" w:eastAsia="zh-CN"/>
        </w:rPr>
        <w:t>项目由宁武县畜牧兽医中心申报实施，在经过项目可行性论证及初步设计后，通过宁武县行政审批管理服务局审批，同意由宁武县畜牧兽医中心牵头实施，项目立项资料完整，程序合法合规。同时宁武县畜牧兽医中心编写项目绩效申报表，明确了项目总体建设目标和产出效益，并将效益细化为具体可衡量的业绩值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项目实际实施过程中，</w:t>
      </w:r>
      <w:r>
        <w:rPr>
          <w:rFonts w:hint="eastAsia" w:cs="仿宋_GB2312"/>
          <w:sz w:val="28"/>
          <w:szCs w:val="28"/>
          <w:lang w:val="en-US" w:eastAsia="zh-CN"/>
        </w:rPr>
        <w:t>成立项目领导小组，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负责统一安排部署和组织实施宁武县百村百场生猪养殖等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项目建设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，落实各项业务管理制度，研究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解决过程中的问题和困难，保障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项目建设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过程中严格按照既定的保障措施执行。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建设过程中，按照规定签订各类合同，实际建设内容和资金支出结算严格按照合同约定执行，由于各标段实际工期存在差异，</w:t>
      </w:r>
      <w:r>
        <w:rPr>
          <w:rFonts w:hint="eastAsia" w:hAnsi="仿宋_GB2312" w:cs="仿宋_GB2312"/>
          <w:sz w:val="28"/>
          <w:szCs w:val="28"/>
          <w:lang w:val="en-US" w:eastAsia="zh-CN"/>
        </w:rPr>
        <w:t>截至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2021年8月份，各建成猪场仍未组织统一验收，各标段实际建设工期无法准确核实，项目整体验收工作滞后。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批复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主要建设内容为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>建成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26个存栏1000头的生猪养殖场，由于选址原因，实际建设25个猪场。目前，25个猪场全部建设完成，水电暖等基础设施基本配备完成，猪场在数量、质量方面基本符合预期建设要求。但</w:t>
      </w:r>
      <w:r>
        <w:rPr>
          <w:rFonts w:hint="eastAsia" w:hAnsi="仿宋_GB2312" w:cs="仿宋_GB2312"/>
          <w:sz w:val="28"/>
          <w:szCs w:val="28"/>
          <w:lang w:val="en-US" w:eastAsia="zh-CN"/>
        </w:rPr>
        <w:t>截至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2021年8月份，所有猪场未组织验收，各猪场实际建设工期无法准确核实。部分猪场由于长时间闲置出现损毁。目前，25个猪场未组织验收，未投入运营，项目目前实现效益与预期不符合，后续效益需等猪场投入运营后考证。</w:t>
      </w: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70"/>
    <w:bookmarkEnd w:id="71"/>
    <w:p>
      <w:pPr>
        <w:pStyle w:val="4"/>
        <w:ind w:firstLine="560"/>
        <w:rPr>
          <w:rFonts w:hint="default" w:eastAsia="黑体"/>
          <w:lang w:val="en-US" w:eastAsia="zh-CN"/>
        </w:rPr>
      </w:pPr>
      <w:bookmarkStart w:id="72" w:name="_Toc15531"/>
      <w:bookmarkStart w:id="73" w:name="_Toc4613"/>
      <w:r>
        <w:rPr>
          <w:rFonts w:hint="eastAsia"/>
          <w:lang w:val="en-US" w:eastAsia="zh-CN"/>
        </w:rPr>
        <w:t>四</w:t>
      </w:r>
      <w:r>
        <w:rPr>
          <w:rFonts w:hint="eastAsia"/>
        </w:rPr>
        <w:t>、</w:t>
      </w:r>
      <w:bookmarkEnd w:id="72"/>
      <w:r>
        <w:rPr>
          <w:rFonts w:hint="eastAsia"/>
          <w:lang w:val="en-US" w:eastAsia="zh-CN"/>
        </w:rPr>
        <w:t>存在的问题</w:t>
      </w:r>
      <w:bookmarkEnd w:id="73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总体而言，</w:t>
      </w:r>
      <w:r>
        <w:rPr>
          <w:rFonts w:hint="eastAsia"/>
          <w:lang w:eastAsia="zh-CN"/>
        </w:rPr>
        <w:t>宁武</w:t>
      </w:r>
      <w:r>
        <w:rPr>
          <w:rFonts w:hint="eastAsia"/>
        </w:rPr>
        <w:t>县</w:t>
      </w:r>
      <w:r>
        <w:rPr>
          <w:rFonts w:hint="eastAsia"/>
          <w:lang w:val="en-US" w:eastAsia="zh-CN"/>
        </w:rPr>
        <w:t>畜牧兽医中心2020</w:t>
      </w:r>
      <w:r>
        <w:rPr>
          <w:rFonts w:hint="eastAsia"/>
        </w:rPr>
        <w:t>年财政统筹整合资金基本实现了预期的绩效目标，但某些方面仍存在一定的问题和不足，主要有：</w:t>
      </w:r>
    </w:p>
    <w:p>
      <w:pPr>
        <w:pStyle w:val="2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1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bookmarkStart w:id="74" w:name="_Toc3346"/>
      <w:bookmarkStart w:id="75" w:name="_Toc18161"/>
      <w:bookmarkStart w:id="76" w:name="_Toc844"/>
      <w:bookmarkStart w:id="77" w:name="_Toc31995"/>
      <w:r>
        <w:rPr>
          <w:rFonts w:hint="default" w:ascii="楷体_GB2312" w:hAnsi="楷体_GB2312" w:eastAsia="楷体_GB2312" w:cs="楷体_GB2312"/>
          <w:highlight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highlight w:val="none"/>
          <w:lang w:val="en-US" w:eastAsia="zh-CN"/>
        </w:rPr>
        <w:t>猪场未及时投入运营，项目目前产生的效益低</w:t>
      </w:r>
      <w:bookmarkEnd w:id="74"/>
      <w:bookmarkEnd w:id="75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2020年宁武县百村百场生猪养殖扶贫项目（一期）在宁武县11个乡镇25个村先后建成25个育肥猪场，但25个猪场由于实际建设工期存在差异，且有关部门要求猪场组织统一验收，导致项目整体</w:t>
      </w:r>
      <w:r>
        <w:rPr>
          <w:rFonts w:hint="eastAsia" w:cs="仿宋_GB2312"/>
          <w:b w:val="0"/>
          <w:bCs w:val="0"/>
          <w:kern w:val="2"/>
          <w:sz w:val="28"/>
          <w:szCs w:val="28"/>
          <w:lang w:val="en-US" w:eastAsia="zh-CN" w:bidi="ar-SA"/>
        </w:rPr>
        <w:t>验收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滞后，</w:t>
      </w:r>
      <w:r>
        <w:rPr>
          <w:rFonts w:hint="eastAsia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截至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2021年8月份，所有猪场未组织验收工作，未投入运营，部分猪场基础设施配套工作仍未完成，猪场2020年所产生的经济效益、社会效益等不明显。</w:t>
      </w:r>
    </w:p>
    <w:p>
      <w:pPr>
        <w:pStyle w:val="2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1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bookmarkStart w:id="78" w:name="_Toc32453"/>
      <w:bookmarkStart w:id="79" w:name="_Toc9780"/>
      <w:r>
        <w:rPr>
          <w:rFonts w:hint="default" w:ascii="楷体_GB2312" w:hAnsi="楷体_GB2312" w:eastAsia="楷体_GB2312" w:cs="楷体_GB2312"/>
          <w:highlight w:val="none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highlight w:val="none"/>
          <w:lang w:val="en-US" w:eastAsia="zh-CN"/>
        </w:rPr>
        <w:t>二</w:t>
      </w:r>
      <w:r>
        <w:rPr>
          <w:rFonts w:hint="default" w:ascii="楷体_GB2312" w:hAnsi="楷体_GB2312" w:eastAsia="楷体_GB2312" w:cs="楷体_GB2312"/>
          <w:highlight w:val="none"/>
          <w:lang w:val="en-US" w:eastAsia="zh-CN"/>
        </w:rPr>
        <w:t>）</w:t>
      </w:r>
      <w:r>
        <w:rPr>
          <w:rFonts w:hint="eastAsia" w:ascii="楷体_GB2312" w:hAnsi="楷体_GB2312" w:eastAsia="楷体_GB2312" w:cs="楷体_GB2312"/>
          <w:highlight w:val="none"/>
          <w:lang w:val="en-US" w:eastAsia="zh-CN"/>
        </w:rPr>
        <w:t>部分猪场建设不符合规定</w:t>
      </w:r>
      <w:bookmarkEnd w:id="78"/>
      <w:bookmarkEnd w:id="79"/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outlineLvl w:val="9"/>
        <w:rPr>
          <w:rFonts w:hint="default"/>
          <w:vertAlign w:val="baseli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养殖场应建在地势高燥、背风向阳、空气流通、土质坚实、地下水水位低、具有缓坡的平坦开阔地带，应选在居民下风处，距离居民点和公路500米以上，忌在低洼涝地、山洪水道建设。</w:t>
      </w:r>
      <w:r>
        <w:rPr>
          <w:rFonts w:hint="eastAsia" w:cs="仿宋_GB2312"/>
          <w:b w:val="0"/>
          <w:bCs w:val="0"/>
          <w:kern w:val="2"/>
          <w:sz w:val="28"/>
          <w:szCs w:val="28"/>
          <w:lang w:val="en-US" w:eastAsia="zh-CN" w:bidi="ar-SA"/>
        </w:rPr>
        <w:t>评价小组在实地查看过程中发现，薛家洼乡洪河猪场500米范围内存在民居，下白泉猪场附近有山洪冲刷的迹象，猪场外部围栏存在多处断裂，以上两处猪场建设选址与规定不符。现场影像资料如下：</w:t>
      </w:r>
    </w:p>
    <w:tbl>
      <w:tblPr>
        <w:tblStyle w:val="1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</w:trPr>
        <w:tc>
          <w:tcPr>
            <w:tcW w:w="426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62230</wp:posOffset>
                  </wp:positionV>
                  <wp:extent cx="2593340" cy="1942465"/>
                  <wp:effectExtent l="0" t="0" r="10160" b="635"/>
                  <wp:wrapTight wrapText="bothSides">
                    <wp:wrapPolygon>
                      <wp:start x="0" y="0"/>
                      <wp:lineTo x="0" y="21466"/>
                      <wp:lineTo x="21473" y="21466"/>
                      <wp:lineTo x="21473" y="0"/>
                      <wp:lineTo x="0" y="0"/>
                    </wp:wrapPolygon>
                  </wp:wrapTight>
                  <wp:docPr id="2" name="图片 2" descr="微信图片_202110091114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11009111411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40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56515</wp:posOffset>
                  </wp:positionV>
                  <wp:extent cx="2610485" cy="1982470"/>
                  <wp:effectExtent l="0" t="0" r="5715" b="11430"/>
                  <wp:wrapTight wrapText="bothSides">
                    <wp:wrapPolygon>
                      <wp:start x="0" y="0"/>
                      <wp:lineTo x="0" y="21448"/>
                      <wp:lineTo x="21542" y="21448"/>
                      <wp:lineTo x="21542" y="0"/>
                      <wp:lineTo x="0" y="0"/>
                    </wp:wrapPolygon>
                  </wp:wrapTight>
                  <wp:docPr id="3" name="图片 3" descr="微信图片_20211009111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11009111411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85" cy="198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</w:trPr>
        <w:tc>
          <w:tcPr>
            <w:tcW w:w="426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54610</wp:posOffset>
                  </wp:positionV>
                  <wp:extent cx="2598420" cy="1973580"/>
                  <wp:effectExtent l="0" t="0" r="5080" b="7620"/>
                  <wp:wrapTight wrapText="bothSides">
                    <wp:wrapPolygon>
                      <wp:start x="0" y="0"/>
                      <wp:lineTo x="0" y="21405"/>
                      <wp:lineTo x="21537" y="21405"/>
                      <wp:lineTo x="21537" y="0"/>
                      <wp:lineTo x="0" y="0"/>
                    </wp:wrapPolygon>
                  </wp:wrapTight>
                  <wp:docPr id="4" name="图片 4" descr="微信图片_202110091114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1100911141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-283845</wp:posOffset>
                  </wp:positionV>
                  <wp:extent cx="1953260" cy="2644775"/>
                  <wp:effectExtent l="0" t="0" r="9525" b="2540"/>
                  <wp:wrapTight wrapText="bothSides">
                    <wp:wrapPolygon>
                      <wp:start x="21600" y="5"/>
                      <wp:lineTo x="112" y="5"/>
                      <wp:lineTo x="112" y="21476"/>
                      <wp:lineTo x="21600" y="21476"/>
                      <wp:lineTo x="21600" y="5"/>
                    </wp:wrapPolygon>
                  </wp:wrapTight>
                  <wp:docPr id="6" name="图片 6" descr="微信图片_202110091114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1100911141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53260" cy="264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exact"/>
        </w:trPr>
        <w:tc>
          <w:tcPr>
            <w:tcW w:w="426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-287655</wp:posOffset>
                  </wp:positionV>
                  <wp:extent cx="1951355" cy="2602865"/>
                  <wp:effectExtent l="0" t="0" r="635" b="4445"/>
                  <wp:wrapTight wrapText="bothSides">
                    <wp:wrapPolygon>
                      <wp:start x="21600" y="0"/>
                      <wp:lineTo x="91" y="0"/>
                      <wp:lineTo x="91" y="21500"/>
                      <wp:lineTo x="21600" y="21500"/>
                      <wp:lineTo x="21600" y="0"/>
                    </wp:wrapPolygon>
                  </wp:wrapTight>
                  <wp:docPr id="1" name="图片 1" descr="微信图片_202110091114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100911141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51355" cy="260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-253365</wp:posOffset>
                  </wp:positionV>
                  <wp:extent cx="1990090" cy="2560320"/>
                  <wp:effectExtent l="0" t="0" r="5080" b="3810"/>
                  <wp:wrapTight wrapText="bothSides">
                    <wp:wrapPolygon>
                      <wp:start x="21600" y="0"/>
                      <wp:lineTo x="96" y="0"/>
                      <wp:lineTo x="96" y="21536"/>
                      <wp:lineTo x="21600" y="21536"/>
                      <wp:lineTo x="21600" y="0"/>
                    </wp:wrapPolygon>
                  </wp:wrapTight>
                  <wp:docPr id="8" name="图片 8" descr="微信图片_20211009111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微信图片_2021100911141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0090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4"/>
        <w:ind w:firstLine="560"/>
      </w:pPr>
      <w:bookmarkStart w:id="80" w:name="_Toc18211"/>
      <w:r>
        <w:rPr>
          <w:rFonts w:hint="eastAsia"/>
          <w:lang w:val="en-US" w:eastAsia="zh-CN"/>
        </w:rPr>
        <w:t>五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有关</w:t>
      </w:r>
      <w:r>
        <w:rPr>
          <w:rFonts w:hint="eastAsia"/>
        </w:rPr>
        <w:t>建议</w:t>
      </w:r>
      <w:bookmarkEnd w:id="76"/>
      <w:bookmarkEnd w:id="77"/>
      <w:bookmarkEnd w:id="80"/>
    </w:p>
    <w:p>
      <w:pPr>
        <w:bidi w:val="0"/>
        <w:rPr>
          <w:rFonts w:hint="eastAsia"/>
        </w:rPr>
      </w:pPr>
      <w:r>
        <w:rPr>
          <w:rFonts w:hint="eastAsia"/>
        </w:rPr>
        <w:t>针对上述问题及不足，评价组经过仔细研究，认为在以后的项目实施过程中需从以下几个方面改进：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1"/>
        <w:rPr>
          <w:rFonts w:hint="eastAsia" w:ascii="Arial" w:hAnsi="Arial" w:eastAsia="楷体_GB2312" w:cstheme="minorBidi"/>
          <w:kern w:val="2"/>
          <w:sz w:val="28"/>
          <w:szCs w:val="24"/>
          <w:lang w:val="en-US" w:eastAsia="zh-CN" w:bidi="ar-SA"/>
        </w:rPr>
      </w:pPr>
      <w:bookmarkStart w:id="81" w:name="_Toc15815"/>
      <w:bookmarkStart w:id="82" w:name="_Toc4728"/>
      <w:r>
        <w:rPr>
          <w:rFonts w:hint="eastAsia" w:ascii="Arial" w:hAnsi="Arial" w:eastAsia="楷体_GB2312" w:cstheme="minorBidi"/>
          <w:kern w:val="2"/>
          <w:sz w:val="28"/>
          <w:szCs w:val="24"/>
          <w:lang w:val="en-US" w:eastAsia="zh-CN" w:bidi="ar-SA"/>
        </w:rPr>
        <w:t>（一）尽快组织验收工作，猪场投入运营发挥应有效益</w:t>
      </w:r>
      <w:bookmarkEnd w:id="81"/>
      <w:bookmarkEnd w:id="82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建议宁武县畜牧兽医中心及相关部门尽快组织验收工作，采用自营、外包等方式将建成猪场投入运营，避免长期闲置，猪场投入运营后，按照预期养殖规模进行生猪养殖，同时可聘请周围贫困户进厂务工，提供就业岗位，增收脱贫收入，发挥带贫作用，实现脱贫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1"/>
        <w:rPr>
          <w:rFonts w:hint="eastAsia" w:ascii="Arial" w:hAnsi="Arial" w:eastAsia="楷体_GB2312" w:cstheme="minorBidi"/>
          <w:kern w:val="2"/>
          <w:sz w:val="28"/>
          <w:szCs w:val="24"/>
          <w:lang w:val="en-US" w:eastAsia="zh-CN" w:bidi="ar-SA"/>
        </w:rPr>
      </w:pPr>
      <w:bookmarkStart w:id="83" w:name="_Toc13409"/>
      <w:bookmarkStart w:id="84" w:name="_Toc12853"/>
      <w:r>
        <w:rPr>
          <w:rFonts w:hint="eastAsia" w:ascii="Arial" w:hAnsi="Arial" w:eastAsia="楷体_GB2312" w:cstheme="minorBidi"/>
          <w:kern w:val="2"/>
          <w:sz w:val="28"/>
          <w:szCs w:val="24"/>
          <w:lang w:val="en-US" w:eastAsia="zh-CN" w:bidi="ar-SA"/>
        </w:rPr>
        <w:t>（二）做好猪场修缮工作，避免猪场出现二次损毁</w:t>
      </w:r>
      <w:bookmarkEnd w:id="83"/>
      <w:bookmarkEnd w:id="84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/>
        <w:ind w:left="0" w:leftChars="0" w:right="0" w:rightChars="0" w:firstLine="560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组织工作人员尽快修缮已经损毁猪场，同时定期检查各个猪场是否存在破损迹象，及时发现及时解决，避免资金浪费。对于距离民居较近的猪场要确保猪场运营后的处理工作，尽可能降低对周围居民的影响。在二期三期建设工作中一定要按照项目选址规定，在远离民居、</w:t>
      </w:r>
      <w:r>
        <w:rPr>
          <w:rFonts w:hint="eastAsia" w:ascii="仿宋_GB2312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低洼涝地</w:t>
      </w:r>
      <w:r>
        <w:rPr>
          <w:rFonts w:hint="eastAsia" w:cs="仿宋_GB2312"/>
          <w:b w:val="0"/>
          <w:bCs w:val="0"/>
          <w:kern w:val="2"/>
          <w:sz w:val="28"/>
          <w:szCs w:val="28"/>
          <w:lang w:val="en-US" w:eastAsia="zh-CN" w:bidi="ar-SA"/>
        </w:rPr>
        <w:t>和</w:t>
      </w:r>
      <w:r>
        <w:rPr>
          <w:rFonts w:hint="eastAsia" w:ascii="仿宋_GB2312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山洪水道</w:t>
      </w:r>
      <w:r>
        <w:rPr>
          <w:rFonts w:hint="eastAsia" w:cs="仿宋_GB2312"/>
          <w:b w:val="0"/>
          <w:bCs w:val="0"/>
          <w:kern w:val="2"/>
          <w:sz w:val="28"/>
          <w:szCs w:val="28"/>
          <w:lang w:val="en-US" w:eastAsia="zh-CN" w:bidi="ar-SA"/>
        </w:rPr>
        <w:t>的地方</w:t>
      </w:r>
      <w:r>
        <w:rPr>
          <w:rFonts w:hint="eastAsia" w:ascii="仿宋_GB2312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建设</w:t>
      </w:r>
      <w:r>
        <w:rPr>
          <w:rFonts w:hint="eastAsia" w:cs="仿宋_GB2312"/>
          <w:b w:val="0"/>
          <w:bCs w:val="0"/>
          <w:kern w:val="2"/>
          <w:sz w:val="28"/>
          <w:szCs w:val="28"/>
          <w:lang w:val="en-US" w:eastAsia="zh-CN" w:bidi="ar-SA"/>
        </w:rPr>
        <w:t>养殖场</w:t>
      </w:r>
      <w:r>
        <w:rPr>
          <w:rFonts w:hint="eastAsia" w:ascii="仿宋_GB2312" w:hAnsi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。</w:t>
      </w:r>
    </w:p>
    <w:p>
      <w:pPr>
        <w:pStyle w:val="3"/>
        <w:rPr>
          <w:rFonts w:hint="default"/>
          <w:lang w:val="en-US" w:eastAsia="zh-CN"/>
        </w:rPr>
      </w:pPr>
    </w:p>
    <w:sectPr>
      <w:headerReference r:id="rId8" w:type="default"/>
      <w:footerReference r:id="rId9" w:type="default"/>
      <w:pgSz w:w="11906" w:h="16838"/>
      <w:pgMar w:top="2041" w:right="1417" w:bottom="1417" w:left="1531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9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0" w:leftChars="0" w:firstLine="0" w:firstLineChars="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000000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firstLine="0" w:firstLineChars="0"/>
      <w:jc w:val="center"/>
      <w:textAlignment w:val="auto"/>
      <w:rPr>
        <w:rFonts w:hint="eastAsia" w:ascii="仿宋_GB2312" w:hAnsi="仿宋_GB2312" w:eastAsia="仿宋_GB2312" w:cs="仿宋_GB2312"/>
        <w:sz w:val="24"/>
        <w:szCs w:val="40"/>
      </w:rPr>
    </w:pPr>
    <w:r>
      <w:rPr>
        <w:rFonts w:hint="eastAsia" w:ascii="宋体" w:hAnsi="宋体" w:eastAsia="宋体" w:cs="宋体"/>
        <w:sz w:val="24"/>
        <w:szCs w:val="40"/>
        <w:lang w:eastAsia="zh-CN"/>
      </w:rPr>
      <w:t>宁武</w:t>
    </w:r>
    <w:r>
      <w:rPr>
        <w:rFonts w:hint="eastAsia" w:ascii="宋体" w:hAnsi="宋体" w:eastAsia="宋体" w:cs="宋体"/>
        <w:sz w:val="24"/>
        <w:szCs w:val="40"/>
      </w:rPr>
      <w:t>县</w:t>
    </w:r>
    <w:r>
      <w:rPr>
        <w:rFonts w:hint="eastAsia" w:ascii="宋体" w:hAnsi="宋体" w:eastAsia="宋体" w:cs="宋体"/>
        <w:sz w:val="24"/>
        <w:szCs w:val="40"/>
        <w:lang w:val="en-US" w:eastAsia="zh-CN"/>
      </w:rPr>
      <w:t>畜牧兽医中心</w:t>
    </w:r>
    <w:r>
      <w:rPr>
        <w:rFonts w:hint="eastAsia" w:ascii="宋体" w:hAnsi="宋体" w:eastAsia="宋体" w:cs="宋体"/>
        <w:sz w:val="24"/>
        <w:szCs w:val="40"/>
        <w:lang w:eastAsia="zh-CN"/>
      </w:rPr>
      <w:t>2020</w:t>
    </w:r>
    <w:r>
      <w:rPr>
        <w:rFonts w:hint="eastAsia" w:ascii="宋体" w:hAnsi="宋体" w:eastAsia="宋体" w:cs="宋体"/>
        <w:sz w:val="24"/>
        <w:szCs w:val="40"/>
      </w:rPr>
      <w:t>年统筹整合财政资金绩效评价报告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firstLine="0" w:firstLineChars="0"/>
      <w:jc w:val="center"/>
      <w:textAlignment w:val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40" w:lineRule="auto"/>
      <w:ind w:left="0" w:leftChars="0" w:firstLine="0" w:firstLineChars="0"/>
      <w:jc w:val="both"/>
      <w:textAlignment w:val="auto"/>
      <w:rPr>
        <w:rFonts w:hint="eastAsia" w:ascii="宋体" w:hAnsi="宋体" w:eastAsia="宋体" w:cs="宋体"/>
        <w:sz w:val="24"/>
        <w:szCs w:val="24"/>
        <w:lang w:val="en-US" w:eastAsia="zh-CN"/>
      </w:rPr>
    </w:pPr>
    <w:r>
      <w:drawing>
        <wp:inline distT="0" distB="0" distL="114300" distR="114300">
          <wp:extent cx="240665" cy="240665"/>
          <wp:effectExtent l="0" t="0" r="3175" b="3175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2"/>
        <w:szCs w:val="22"/>
        <w:lang w:val="en-US" w:eastAsia="zh-CN"/>
      </w:rPr>
      <w:t>山西亚泰                    宁武县畜牧兽医中心2020年统筹整合资金绩效评价报告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isplayBackgroundShape w:val="1"/>
  <w:embedSystemFonts/>
  <w:bordersDoNotSurroundHeader w:val="0"/>
  <w:bordersDoNotSurroundFooter w:val="0"/>
  <w:documentProtection w:edit="readOnly" w:formatting="1" w:enforcement="0"/>
  <w:defaultTabStop w:val="420"/>
  <w:drawingGridVerticalSpacing w:val="19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YWI2YjM3YmMyM2M2N2Q3ZDhhNjM1NzA1NDMxOGUifQ=="/>
  </w:docVars>
  <w:rsids>
    <w:rsidRoot w:val="2E6A2B84"/>
    <w:rsid w:val="001B7724"/>
    <w:rsid w:val="00387116"/>
    <w:rsid w:val="00425A1B"/>
    <w:rsid w:val="0061611D"/>
    <w:rsid w:val="00632EDD"/>
    <w:rsid w:val="00881630"/>
    <w:rsid w:val="00BE4259"/>
    <w:rsid w:val="00DF4855"/>
    <w:rsid w:val="00F21E95"/>
    <w:rsid w:val="015C41FC"/>
    <w:rsid w:val="016358A7"/>
    <w:rsid w:val="017F1DEB"/>
    <w:rsid w:val="01813501"/>
    <w:rsid w:val="01962D44"/>
    <w:rsid w:val="019C4647"/>
    <w:rsid w:val="01AA3457"/>
    <w:rsid w:val="01B40F4F"/>
    <w:rsid w:val="01C41231"/>
    <w:rsid w:val="01CF1544"/>
    <w:rsid w:val="01F71148"/>
    <w:rsid w:val="02351D60"/>
    <w:rsid w:val="023856A1"/>
    <w:rsid w:val="0256562E"/>
    <w:rsid w:val="027706F2"/>
    <w:rsid w:val="02C44CB4"/>
    <w:rsid w:val="02F03CED"/>
    <w:rsid w:val="030212DA"/>
    <w:rsid w:val="0347507A"/>
    <w:rsid w:val="03B15D43"/>
    <w:rsid w:val="03CE4842"/>
    <w:rsid w:val="03CF7081"/>
    <w:rsid w:val="04002BB8"/>
    <w:rsid w:val="04740847"/>
    <w:rsid w:val="04907942"/>
    <w:rsid w:val="04987716"/>
    <w:rsid w:val="04F10165"/>
    <w:rsid w:val="050955FB"/>
    <w:rsid w:val="05277B6F"/>
    <w:rsid w:val="05395F4B"/>
    <w:rsid w:val="053F4012"/>
    <w:rsid w:val="05401651"/>
    <w:rsid w:val="057010E0"/>
    <w:rsid w:val="057A76AF"/>
    <w:rsid w:val="058C5E13"/>
    <w:rsid w:val="058E4AD4"/>
    <w:rsid w:val="05A32885"/>
    <w:rsid w:val="05C036C8"/>
    <w:rsid w:val="05D47089"/>
    <w:rsid w:val="05E631BE"/>
    <w:rsid w:val="05EF5CB8"/>
    <w:rsid w:val="062B765A"/>
    <w:rsid w:val="06446764"/>
    <w:rsid w:val="065F64C3"/>
    <w:rsid w:val="066228C7"/>
    <w:rsid w:val="069912EF"/>
    <w:rsid w:val="06B93873"/>
    <w:rsid w:val="06C87809"/>
    <w:rsid w:val="06ED6387"/>
    <w:rsid w:val="06F91ED3"/>
    <w:rsid w:val="070C2627"/>
    <w:rsid w:val="0750303E"/>
    <w:rsid w:val="07521BBC"/>
    <w:rsid w:val="075A287C"/>
    <w:rsid w:val="07B83B3F"/>
    <w:rsid w:val="07F81E54"/>
    <w:rsid w:val="07FC7E6F"/>
    <w:rsid w:val="080C5D5D"/>
    <w:rsid w:val="08236CAC"/>
    <w:rsid w:val="08422E17"/>
    <w:rsid w:val="085F4DED"/>
    <w:rsid w:val="08672E2A"/>
    <w:rsid w:val="086F5144"/>
    <w:rsid w:val="08967052"/>
    <w:rsid w:val="089A0B21"/>
    <w:rsid w:val="08A22ED9"/>
    <w:rsid w:val="08B23CD9"/>
    <w:rsid w:val="08B81E44"/>
    <w:rsid w:val="094801BA"/>
    <w:rsid w:val="0950287A"/>
    <w:rsid w:val="095776AC"/>
    <w:rsid w:val="095C5609"/>
    <w:rsid w:val="096B6AEC"/>
    <w:rsid w:val="09865286"/>
    <w:rsid w:val="09872575"/>
    <w:rsid w:val="099F7A3A"/>
    <w:rsid w:val="09BA442F"/>
    <w:rsid w:val="09CC5871"/>
    <w:rsid w:val="0A2364CA"/>
    <w:rsid w:val="0A246B7D"/>
    <w:rsid w:val="0A3C275D"/>
    <w:rsid w:val="0A412A17"/>
    <w:rsid w:val="0A50380B"/>
    <w:rsid w:val="0A68747B"/>
    <w:rsid w:val="0A733D61"/>
    <w:rsid w:val="0AFB137F"/>
    <w:rsid w:val="0B024215"/>
    <w:rsid w:val="0B173C4F"/>
    <w:rsid w:val="0B300929"/>
    <w:rsid w:val="0B3F1579"/>
    <w:rsid w:val="0B4400C0"/>
    <w:rsid w:val="0B5B4105"/>
    <w:rsid w:val="0B7E3937"/>
    <w:rsid w:val="0B824C4D"/>
    <w:rsid w:val="0BA75C17"/>
    <w:rsid w:val="0BB51797"/>
    <w:rsid w:val="0BE43E64"/>
    <w:rsid w:val="0C267029"/>
    <w:rsid w:val="0C330574"/>
    <w:rsid w:val="0C556BF8"/>
    <w:rsid w:val="0C75769F"/>
    <w:rsid w:val="0C757950"/>
    <w:rsid w:val="0C8836F5"/>
    <w:rsid w:val="0CD553EA"/>
    <w:rsid w:val="0CD66F96"/>
    <w:rsid w:val="0CF10D7D"/>
    <w:rsid w:val="0D0C4E63"/>
    <w:rsid w:val="0D3B2556"/>
    <w:rsid w:val="0D611A50"/>
    <w:rsid w:val="0D8E20F2"/>
    <w:rsid w:val="0DA32C04"/>
    <w:rsid w:val="0DA538B8"/>
    <w:rsid w:val="0DC53B11"/>
    <w:rsid w:val="0DE81C7F"/>
    <w:rsid w:val="0E0A4ADE"/>
    <w:rsid w:val="0E1605F6"/>
    <w:rsid w:val="0E495C32"/>
    <w:rsid w:val="0E615AD5"/>
    <w:rsid w:val="0E6369C7"/>
    <w:rsid w:val="0E846A8F"/>
    <w:rsid w:val="0E920A46"/>
    <w:rsid w:val="0EA428AC"/>
    <w:rsid w:val="0EAF7759"/>
    <w:rsid w:val="0F5016AA"/>
    <w:rsid w:val="0F943345"/>
    <w:rsid w:val="0FC4439F"/>
    <w:rsid w:val="0FE631B9"/>
    <w:rsid w:val="0FE82461"/>
    <w:rsid w:val="10196493"/>
    <w:rsid w:val="10284507"/>
    <w:rsid w:val="102E5AE6"/>
    <w:rsid w:val="103153AE"/>
    <w:rsid w:val="10765F68"/>
    <w:rsid w:val="10905CFB"/>
    <w:rsid w:val="10A81F8F"/>
    <w:rsid w:val="10AB2990"/>
    <w:rsid w:val="10AD0C8E"/>
    <w:rsid w:val="10E10017"/>
    <w:rsid w:val="10E92BFE"/>
    <w:rsid w:val="110117D3"/>
    <w:rsid w:val="110372DA"/>
    <w:rsid w:val="110E6E55"/>
    <w:rsid w:val="11212CCD"/>
    <w:rsid w:val="112D42AF"/>
    <w:rsid w:val="11856E08"/>
    <w:rsid w:val="11883546"/>
    <w:rsid w:val="11887CF3"/>
    <w:rsid w:val="11B80F0E"/>
    <w:rsid w:val="11C62C20"/>
    <w:rsid w:val="11DA73A5"/>
    <w:rsid w:val="11FD772C"/>
    <w:rsid w:val="1201782F"/>
    <w:rsid w:val="12197AA4"/>
    <w:rsid w:val="12233701"/>
    <w:rsid w:val="1227443E"/>
    <w:rsid w:val="12311F00"/>
    <w:rsid w:val="12406622"/>
    <w:rsid w:val="12611770"/>
    <w:rsid w:val="12614AD4"/>
    <w:rsid w:val="12636198"/>
    <w:rsid w:val="12945858"/>
    <w:rsid w:val="12966E37"/>
    <w:rsid w:val="12B9110F"/>
    <w:rsid w:val="12BE7095"/>
    <w:rsid w:val="12CD1645"/>
    <w:rsid w:val="12D17CB8"/>
    <w:rsid w:val="12F4372B"/>
    <w:rsid w:val="13112132"/>
    <w:rsid w:val="133D4503"/>
    <w:rsid w:val="137D0855"/>
    <w:rsid w:val="13823DC4"/>
    <w:rsid w:val="13884D66"/>
    <w:rsid w:val="139D323F"/>
    <w:rsid w:val="13A70116"/>
    <w:rsid w:val="13B23E5F"/>
    <w:rsid w:val="13C22ED6"/>
    <w:rsid w:val="144944D3"/>
    <w:rsid w:val="144B6108"/>
    <w:rsid w:val="14586C20"/>
    <w:rsid w:val="146C6890"/>
    <w:rsid w:val="14704DC1"/>
    <w:rsid w:val="14A84FD6"/>
    <w:rsid w:val="14CD7FFB"/>
    <w:rsid w:val="14E03DA3"/>
    <w:rsid w:val="151C7623"/>
    <w:rsid w:val="153349B4"/>
    <w:rsid w:val="154C04F2"/>
    <w:rsid w:val="15587754"/>
    <w:rsid w:val="156E4084"/>
    <w:rsid w:val="15735D78"/>
    <w:rsid w:val="158368AC"/>
    <w:rsid w:val="15857ABB"/>
    <w:rsid w:val="158B5802"/>
    <w:rsid w:val="15B33B5B"/>
    <w:rsid w:val="15C05ECB"/>
    <w:rsid w:val="15C23B68"/>
    <w:rsid w:val="15E84D0C"/>
    <w:rsid w:val="164765CD"/>
    <w:rsid w:val="166011B0"/>
    <w:rsid w:val="16796ED4"/>
    <w:rsid w:val="167A1642"/>
    <w:rsid w:val="16C01378"/>
    <w:rsid w:val="16D7238B"/>
    <w:rsid w:val="17082851"/>
    <w:rsid w:val="17117F41"/>
    <w:rsid w:val="171406F0"/>
    <w:rsid w:val="17706BB8"/>
    <w:rsid w:val="177E7436"/>
    <w:rsid w:val="17850F83"/>
    <w:rsid w:val="17890B2B"/>
    <w:rsid w:val="17A9232F"/>
    <w:rsid w:val="17E36252"/>
    <w:rsid w:val="17FB6AFB"/>
    <w:rsid w:val="18030338"/>
    <w:rsid w:val="181C43DB"/>
    <w:rsid w:val="18630017"/>
    <w:rsid w:val="1886113C"/>
    <w:rsid w:val="18E63CA2"/>
    <w:rsid w:val="18F523E0"/>
    <w:rsid w:val="19625540"/>
    <w:rsid w:val="1962764A"/>
    <w:rsid w:val="196B77B7"/>
    <w:rsid w:val="197A3154"/>
    <w:rsid w:val="199F2E18"/>
    <w:rsid w:val="19AA2356"/>
    <w:rsid w:val="19B9102C"/>
    <w:rsid w:val="19C4251D"/>
    <w:rsid w:val="19D35887"/>
    <w:rsid w:val="19EA3610"/>
    <w:rsid w:val="1A0C17EB"/>
    <w:rsid w:val="1A27524A"/>
    <w:rsid w:val="1A2A6A7B"/>
    <w:rsid w:val="1A7C64F1"/>
    <w:rsid w:val="1A8D75E2"/>
    <w:rsid w:val="1AAB6505"/>
    <w:rsid w:val="1ABE01BE"/>
    <w:rsid w:val="1AD37F1A"/>
    <w:rsid w:val="1AE71FE5"/>
    <w:rsid w:val="1B383A0D"/>
    <w:rsid w:val="1B4D2CA2"/>
    <w:rsid w:val="1B586868"/>
    <w:rsid w:val="1B851A5C"/>
    <w:rsid w:val="1B896965"/>
    <w:rsid w:val="1BB81EB9"/>
    <w:rsid w:val="1BF964C4"/>
    <w:rsid w:val="1BFB1D4E"/>
    <w:rsid w:val="1C341B85"/>
    <w:rsid w:val="1C4E23B5"/>
    <w:rsid w:val="1CA34100"/>
    <w:rsid w:val="1CC17FA5"/>
    <w:rsid w:val="1CD821F7"/>
    <w:rsid w:val="1CE56040"/>
    <w:rsid w:val="1D036806"/>
    <w:rsid w:val="1D29646F"/>
    <w:rsid w:val="1D362C9A"/>
    <w:rsid w:val="1D5970D5"/>
    <w:rsid w:val="1D6E35AF"/>
    <w:rsid w:val="1D9C115F"/>
    <w:rsid w:val="1DD0193C"/>
    <w:rsid w:val="1DD97567"/>
    <w:rsid w:val="1DDE4783"/>
    <w:rsid w:val="1DEB3555"/>
    <w:rsid w:val="1DF03C5B"/>
    <w:rsid w:val="1DF85B8A"/>
    <w:rsid w:val="1DFB3D11"/>
    <w:rsid w:val="1DFF47FC"/>
    <w:rsid w:val="1E0A72A6"/>
    <w:rsid w:val="1E102DD6"/>
    <w:rsid w:val="1E4D3C59"/>
    <w:rsid w:val="1E9C63F5"/>
    <w:rsid w:val="1EB6191F"/>
    <w:rsid w:val="1EC960E9"/>
    <w:rsid w:val="1ECE2D1C"/>
    <w:rsid w:val="1ED33DFA"/>
    <w:rsid w:val="1EDA0DFB"/>
    <w:rsid w:val="1F183A38"/>
    <w:rsid w:val="1F526BA8"/>
    <w:rsid w:val="1F527CB9"/>
    <w:rsid w:val="1F57782C"/>
    <w:rsid w:val="1F7D02D2"/>
    <w:rsid w:val="1F8D2D17"/>
    <w:rsid w:val="1F9A0450"/>
    <w:rsid w:val="1FA255DE"/>
    <w:rsid w:val="1FF36AA7"/>
    <w:rsid w:val="1FFA75FA"/>
    <w:rsid w:val="2032681D"/>
    <w:rsid w:val="204A06C8"/>
    <w:rsid w:val="205170F9"/>
    <w:rsid w:val="20527877"/>
    <w:rsid w:val="205A34B5"/>
    <w:rsid w:val="206A2C93"/>
    <w:rsid w:val="20815A87"/>
    <w:rsid w:val="208C547F"/>
    <w:rsid w:val="20F51366"/>
    <w:rsid w:val="21225CD9"/>
    <w:rsid w:val="21412F2F"/>
    <w:rsid w:val="21470C8B"/>
    <w:rsid w:val="214F1551"/>
    <w:rsid w:val="216975C6"/>
    <w:rsid w:val="21AA2BC8"/>
    <w:rsid w:val="21CB308D"/>
    <w:rsid w:val="21CE7CB5"/>
    <w:rsid w:val="21EB5ABA"/>
    <w:rsid w:val="21FC4BAD"/>
    <w:rsid w:val="22021204"/>
    <w:rsid w:val="2207352A"/>
    <w:rsid w:val="220933EE"/>
    <w:rsid w:val="221667A8"/>
    <w:rsid w:val="222E6E2D"/>
    <w:rsid w:val="223936DF"/>
    <w:rsid w:val="223D2FA1"/>
    <w:rsid w:val="22460C8A"/>
    <w:rsid w:val="22577599"/>
    <w:rsid w:val="226C22A6"/>
    <w:rsid w:val="228B4881"/>
    <w:rsid w:val="22A03C2B"/>
    <w:rsid w:val="22CA0157"/>
    <w:rsid w:val="22EE2E34"/>
    <w:rsid w:val="230B4DAB"/>
    <w:rsid w:val="231A28D2"/>
    <w:rsid w:val="23231D7D"/>
    <w:rsid w:val="234223E7"/>
    <w:rsid w:val="237C4BC4"/>
    <w:rsid w:val="238755E3"/>
    <w:rsid w:val="238B69A7"/>
    <w:rsid w:val="23DF3661"/>
    <w:rsid w:val="23E06D9A"/>
    <w:rsid w:val="240755A6"/>
    <w:rsid w:val="24180C8F"/>
    <w:rsid w:val="24390EE1"/>
    <w:rsid w:val="243D715F"/>
    <w:rsid w:val="24A40B3F"/>
    <w:rsid w:val="24A844C1"/>
    <w:rsid w:val="25494DA6"/>
    <w:rsid w:val="254F6869"/>
    <w:rsid w:val="2555488F"/>
    <w:rsid w:val="258554C7"/>
    <w:rsid w:val="25984109"/>
    <w:rsid w:val="259B06F1"/>
    <w:rsid w:val="259E196B"/>
    <w:rsid w:val="25C06B6E"/>
    <w:rsid w:val="25D7171C"/>
    <w:rsid w:val="262234BA"/>
    <w:rsid w:val="265D4B23"/>
    <w:rsid w:val="26675D26"/>
    <w:rsid w:val="26771576"/>
    <w:rsid w:val="26C41AB8"/>
    <w:rsid w:val="26E1104A"/>
    <w:rsid w:val="26EE7D68"/>
    <w:rsid w:val="2702203A"/>
    <w:rsid w:val="27244317"/>
    <w:rsid w:val="272A56CF"/>
    <w:rsid w:val="27395806"/>
    <w:rsid w:val="27495534"/>
    <w:rsid w:val="274D4E12"/>
    <w:rsid w:val="275903E1"/>
    <w:rsid w:val="277B1E14"/>
    <w:rsid w:val="2792670E"/>
    <w:rsid w:val="27A30487"/>
    <w:rsid w:val="27C31158"/>
    <w:rsid w:val="27D54FC0"/>
    <w:rsid w:val="27D944EE"/>
    <w:rsid w:val="27FF6FD0"/>
    <w:rsid w:val="2884566B"/>
    <w:rsid w:val="289E3B66"/>
    <w:rsid w:val="28A6006C"/>
    <w:rsid w:val="28AC2F9C"/>
    <w:rsid w:val="28B128DA"/>
    <w:rsid w:val="28C70D51"/>
    <w:rsid w:val="28CE3E9B"/>
    <w:rsid w:val="28DB41E5"/>
    <w:rsid w:val="28DE3AB9"/>
    <w:rsid w:val="28EB4842"/>
    <w:rsid w:val="28FD4688"/>
    <w:rsid w:val="29181261"/>
    <w:rsid w:val="29240AD7"/>
    <w:rsid w:val="29282EA6"/>
    <w:rsid w:val="292F2EBE"/>
    <w:rsid w:val="293027B6"/>
    <w:rsid w:val="294D4D14"/>
    <w:rsid w:val="295C0D81"/>
    <w:rsid w:val="295C605F"/>
    <w:rsid w:val="295E4B05"/>
    <w:rsid w:val="2960450A"/>
    <w:rsid w:val="29710D7A"/>
    <w:rsid w:val="29A8408C"/>
    <w:rsid w:val="29D565E0"/>
    <w:rsid w:val="29E451BA"/>
    <w:rsid w:val="2A076450"/>
    <w:rsid w:val="2A134E89"/>
    <w:rsid w:val="2A403B83"/>
    <w:rsid w:val="2A4931BD"/>
    <w:rsid w:val="2A5A594C"/>
    <w:rsid w:val="2A5A6F87"/>
    <w:rsid w:val="2A8A24C2"/>
    <w:rsid w:val="2A9552F3"/>
    <w:rsid w:val="2AA27AEF"/>
    <w:rsid w:val="2AE31C1D"/>
    <w:rsid w:val="2AE5745C"/>
    <w:rsid w:val="2AE64338"/>
    <w:rsid w:val="2AE830D7"/>
    <w:rsid w:val="2B0E0BDA"/>
    <w:rsid w:val="2B590C34"/>
    <w:rsid w:val="2B687B23"/>
    <w:rsid w:val="2B987D18"/>
    <w:rsid w:val="2BAC6E79"/>
    <w:rsid w:val="2BC97823"/>
    <w:rsid w:val="2BD43628"/>
    <w:rsid w:val="2C04144D"/>
    <w:rsid w:val="2C20304A"/>
    <w:rsid w:val="2C866D1C"/>
    <w:rsid w:val="2CB941F0"/>
    <w:rsid w:val="2CBE11D1"/>
    <w:rsid w:val="2CC23390"/>
    <w:rsid w:val="2CF03131"/>
    <w:rsid w:val="2CFA4448"/>
    <w:rsid w:val="2D07397A"/>
    <w:rsid w:val="2D1B3053"/>
    <w:rsid w:val="2D1F50BE"/>
    <w:rsid w:val="2D4105C7"/>
    <w:rsid w:val="2D693842"/>
    <w:rsid w:val="2D7839A4"/>
    <w:rsid w:val="2D8F260A"/>
    <w:rsid w:val="2DD2758A"/>
    <w:rsid w:val="2DFE1007"/>
    <w:rsid w:val="2E114AFB"/>
    <w:rsid w:val="2E2B34AA"/>
    <w:rsid w:val="2E397EAD"/>
    <w:rsid w:val="2E5C39CD"/>
    <w:rsid w:val="2E6A2B84"/>
    <w:rsid w:val="2E857246"/>
    <w:rsid w:val="2E97055B"/>
    <w:rsid w:val="2EBA608C"/>
    <w:rsid w:val="2EDE6AAB"/>
    <w:rsid w:val="2EF6222B"/>
    <w:rsid w:val="2F245889"/>
    <w:rsid w:val="2F4A3762"/>
    <w:rsid w:val="2F6A2FD6"/>
    <w:rsid w:val="2F815A09"/>
    <w:rsid w:val="2FCF0F8E"/>
    <w:rsid w:val="2FD615E4"/>
    <w:rsid w:val="2FD63F34"/>
    <w:rsid w:val="2FDF64BC"/>
    <w:rsid w:val="2FF564AC"/>
    <w:rsid w:val="30007C03"/>
    <w:rsid w:val="3026671D"/>
    <w:rsid w:val="303F6996"/>
    <w:rsid w:val="30750635"/>
    <w:rsid w:val="30AF3861"/>
    <w:rsid w:val="30B32B94"/>
    <w:rsid w:val="30C00D45"/>
    <w:rsid w:val="310142D8"/>
    <w:rsid w:val="310879B7"/>
    <w:rsid w:val="31354A46"/>
    <w:rsid w:val="31466263"/>
    <w:rsid w:val="3146799B"/>
    <w:rsid w:val="31824079"/>
    <w:rsid w:val="31A652A7"/>
    <w:rsid w:val="31AB1206"/>
    <w:rsid w:val="31B55224"/>
    <w:rsid w:val="31DA0D6C"/>
    <w:rsid w:val="31E95847"/>
    <w:rsid w:val="32367EAF"/>
    <w:rsid w:val="32455849"/>
    <w:rsid w:val="32770DA9"/>
    <w:rsid w:val="328A058E"/>
    <w:rsid w:val="328A7902"/>
    <w:rsid w:val="32B20D1C"/>
    <w:rsid w:val="32C62710"/>
    <w:rsid w:val="32E75193"/>
    <w:rsid w:val="32E954E2"/>
    <w:rsid w:val="330D7D82"/>
    <w:rsid w:val="331D2602"/>
    <w:rsid w:val="331F411C"/>
    <w:rsid w:val="33752773"/>
    <w:rsid w:val="33A579EB"/>
    <w:rsid w:val="33BA44A9"/>
    <w:rsid w:val="33BC76FC"/>
    <w:rsid w:val="33CF1692"/>
    <w:rsid w:val="33ED0920"/>
    <w:rsid w:val="33EE5320"/>
    <w:rsid w:val="33FC41D0"/>
    <w:rsid w:val="34104DB3"/>
    <w:rsid w:val="341F7131"/>
    <w:rsid w:val="34341325"/>
    <w:rsid w:val="34483F10"/>
    <w:rsid w:val="345A08B6"/>
    <w:rsid w:val="345A56A8"/>
    <w:rsid w:val="3467772B"/>
    <w:rsid w:val="347C46B5"/>
    <w:rsid w:val="34994444"/>
    <w:rsid w:val="349C169A"/>
    <w:rsid w:val="34C72695"/>
    <w:rsid w:val="34E071B0"/>
    <w:rsid w:val="34FE2C83"/>
    <w:rsid w:val="357274FC"/>
    <w:rsid w:val="3599264E"/>
    <w:rsid w:val="35A83B76"/>
    <w:rsid w:val="35E57748"/>
    <w:rsid w:val="35F878E9"/>
    <w:rsid w:val="35FA5C79"/>
    <w:rsid w:val="36436E5C"/>
    <w:rsid w:val="36541F4D"/>
    <w:rsid w:val="36AC6E66"/>
    <w:rsid w:val="36B50D5F"/>
    <w:rsid w:val="36B93320"/>
    <w:rsid w:val="36BD54B5"/>
    <w:rsid w:val="36E940A8"/>
    <w:rsid w:val="371873FB"/>
    <w:rsid w:val="373E16A3"/>
    <w:rsid w:val="37732570"/>
    <w:rsid w:val="37857877"/>
    <w:rsid w:val="378D7584"/>
    <w:rsid w:val="37FC6B5E"/>
    <w:rsid w:val="38156F95"/>
    <w:rsid w:val="381E5E4A"/>
    <w:rsid w:val="38314C1B"/>
    <w:rsid w:val="389E3DD4"/>
    <w:rsid w:val="38AB32C0"/>
    <w:rsid w:val="38B8706B"/>
    <w:rsid w:val="38C87661"/>
    <w:rsid w:val="38E05463"/>
    <w:rsid w:val="38FC4FCF"/>
    <w:rsid w:val="39301164"/>
    <w:rsid w:val="39406235"/>
    <w:rsid w:val="39460C51"/>
    <w:rsid w:val="396522AC"/>
    <w:rsid w:val="39967F9B"/>
    <w:rsid w:val="39C86ABC"/>
    <w:rsid w:val="39F83A13"/>
    <w:rsid w:val="3A0A750A"/>
    <w:rsid w:val="3A457FC6"/>
    <w:rsid w:val="3A584EF9"/>
    <w:rsid w:val="3A8F3D0F"/>
    <w:rsid w:val="3AB05385"/>
    <w:rsid w:val="3ABD146D"/>
    <w:rsid w:val="3AD03642"/>
    <w:rsid w:val="3B1315DF"/>
    <w:rsid w:val="3B4C6BB0"/>
    <w:rsid w:val="3B7B5928"/>
    <w:rsid w:val="3B8B7C0B"/>
    <w:rsid w:val="3B8C5AE0"/>
    <w:rsid w:val="3B996A09"/>
    <w:rsid w:val="3C1E7969"/>
    <w:rsid w:val="3C547D6B"/>
    <w:rsid w:val="3C8D4615"/>
    <w:rsid w:val="3C9A7249"/>
    <w:rsid w:val="3CB12404"/>
    <w:rsid w:val="3CB465D6"/>
    <w:rsid w:val="3CD120B3"/>
    <w:rsid w:val="3CF22FBD"/>
    <w:rsid w:val="3D4F1BEC"/>
    <w:rsid w:val="3D57080E"/>
    <w:rsid w:val="3D7F141A"/>
    <w:rsid w:val="3E4332DF"/>
    <w:rsid w:val="3E5D56EA"/>
    <w:rsid w:val="3E61110B"/>
    <w:rsid w:val="3E72153E"/>
    <w:rsid w:val="3E8B4B84"/>
    <w:rsid w:val="3E8B6810"/>
    <w:rsid w:val="3EF0414E"/>
    <w:rsid w:val="3F0332B9"/>
    <w:rsid w:val="3F1727F5"/>
    <w:rsid w:val="3F195A0F"/>
    <w:rsid w:val="3F1C4DE5"/>
    <w:rsid w:val="3F20238C"/>
    <w:rsid w:val="3F277926"/>
    <w:rsid w:val="3F2D7055"/>
    <w:rsid w:val="3F315EB0"/>
    <w:rsid w:val="3F387708"/>
    <w:rsid w:val="3F4C3D1C"/>
    <w:rsid w:val="3F803D14"/>
    <w:rsid w:val="3F8353FE"/>
    <w:rsid w:val="3F8C2C33"/>
    <w:rsid w:val="3FA15C55"/>
    <w:rsid w:val="3FDB51FD"/>
    <w:rsid w:val="3FF9143C"/>
    <w:rsid w:val="3FFB0C14"/>
    <w:rsid w:val="404277DD"/>
    <w:rsid w:val="405462A1"/>
    <w:rsid w:val="405774AB"/>
    <w:rsid w:val="40631DED"/>
    <w:rsid w:val="40672FD6"/>
    <w:rsid w:val="40D11E0F"/>
    <w:rsid w:val="40E01D29"/>
    <w:rsid w:val="411742F4"/>
    <w:rsid w:val="41385251"/>
    <w:rsid w:val="416F01E6"/>
    <w:rsid w:val="41727385"/>
    <w:rsid w:val="41A35503"/>
    <w:rsid w:val="41F01A35"/>
    <w:rsid w:val="42305873"/>
    <w:rsid w:val="42326FC3"/>
    <w:rsid w:val="424A5815"/>
    <w:rsid w:val="424D306B"/>
    <w:rsid w:val="42B01B03"/>
    <w:rsid w:val="42C92DA4"/>
    <w:rsid w:val="42DD122A"/>
    <w:rsid w:val="42E42B9A"/>
    <w:rsid w:val="43277683"/>
    <w:rsid w:val="43403052"/>
    <w:rsid w:val="43504D3A"/>
    <w:rsid w:val="43565F94"/>
    <w:rsid w:val="4391786A"/>
    <w:rsid w:val="43CE1301"/>
    <w:rsid w:val="43F35CCA"/>
    <w:rsid w:val="440E71F7"/>
    <w:rsid w:val="441E278A"/>
    <w:rsid w:val="44251BBF"/>
    <w:rsid w:val="449724CC"/>
    <w:rsid w:val="449A5D35"/>
    <w:rsid w:val="44A373F6"/>
    <w:rsid w:val="44D97BA2"/>
    <w:rsid w:val="44E51F77"/>
    <w:rsid w:val="451F1A68"/>
    <w:rsid w:val="45331244"/>
    <w:rsid w:val="45493911"/>
    <w:rsid w:val="459513C7"/>
    <w:rsid w:val="46113F90"/>
    <w:rsid w:val="4620660F"/>
    <w:rsid w:val="462B01B2"/>
    <w:rsid w:val="46490C4A"/>
    <w:rsid w:val="4666117C"/>
    <w:rsid w:val="46701397"/>
    <w:rsid w:val="467120F7"/>
    <w:rsid w:val="467F11BF"/>
    <w:rsid w:val="468B1CF1"/>
    <w:rsid w:val="468E39AF"/>
    <w:rsid w:val="46A04C79"/>
    <w:rsid w:val="46B17BFF"/>
    <w:rsid w:val="46DA4AB1"/>
    <w:rsid w:val="46E477A3"/>
    <w:rsid w:val="46ED069B"/>
    <w:rsid w:val="46F8087B"/>
    <w:rsid w:val="470B56F9"/>
    <w:rsid w:val="47185722"/>
    <w:rsid w:val="47354BFE"/>
    <w:rsid w:val="4752414F"/>
    <w:rsid w:val="47571515"/>
    <w:rsid w:val="47594A4F"/>
    <w:rsid w:val="479F2531"/>
    <w:rsid w:val="47BA179A"/>
    <w:rsid w:val="47D5233A"/>
    <w:rsid w:val="48187201"/>
    <w:rsid w:val="48310AB1"/>
    <w:rsid w:val="48714B44"/>
    <w:rsid w:val="48C62660"/>
    <w:rsid w:val="48EF543C"/>
    <w:rsid w:val="48F20A93"/>
    <w:rsid w:val="48FD138F"/>
    <w:rsid w:val="492B53D1"/>
    <w:rsid w:val="496B3D91"/>
    <w:rsid w:val="49AE1FDD"/>
    <w:rsid w:val="49D5167D"/>
    <w:rsid w:val="49E07F92"/>
    <w:rsid w:val="4A5D60F6"/>
    <w:rsid w:val="4A692B1D"/>
    <w:rsid w:val="4A7C5E6C"/>
    <w:rsid w:val="4A894507"/>
    <w:rsid w:val="4AA54FAA"/>
    <w:rsid w:val="4AC60D92"/>
    <w:rsid w:val="4AF07C29"/>
    <w:rsid w:val="4B010890"/>
    <w:rsid w:val="4B501C00"/>
    <w:rsid w:val="4B64122D"/>
    <w:rsid w:val="4B7D65D5"/>
    <w:rsid w:val="4B936AD8"/>
    <w:rsid w:val="4BA44C63"/>
    <w:rsid w:val="4BB82D3A"/>
    <w:rsid w:val="4BCE0986"/>
    <w:rsid w:val="4BDB5F1E"/>
    <w:rsid w:val="4BEA2F62"/>
    <w:rsid w:val="4BF56214"/>
    <w:rsid w:val="4C5078FF"/>
    <w:rsid w:val="4C9A37BD"/>
    <w:rsid w:val="4CBC1BBB"/>
    <w:rsid w:val="4CC56E62"/>
    <w:rsid w:val="4CCC4E68"/>
    <w:rsid w:val="4D0A17D8"/>
    <w:rsid w:val="4D171FA4"/>
    <w:rsid w:val="4D1978A3"/>
    <w:rsid w:val="4D267F89"/>
    <w:rsid w:val="4D286CF0"/>
    <w:rsid w:val="4D355ED7"/>
    <w:rsid w:val="4D3B7475"/>
    <w:rsid w:val="4D5A631E"/>
    <w:rsid w:val="4D62177A"/>
    <w:rsid w:val="4D653AF8"/>
    <w:rsid w:val="4D7E1BFE"/>
    <w:rsid w:val="4D9E2300"/>
    <w:rsid w:val="4DD23256"/>
    <w:rsid w:val="4DE463DE"/>
    <w:rsid w:val="4E0A6FE6"/>
    <w:rsid w:val="4E0F717F"/>
    <w:rsid w:val="4E2620B8"/>
    <w:rsid w:val="4E2F56C2"/>
    <w:rsid w:val="4E32579D"/>
    <w:rsid w:val="4E3C74AB"/>
    <w:rsid w:val="4E3D32A0"/>
    <w:rsid w:val="4E8A2B28"/>
    <w:rsid w:val="4ED42EFA"/>
    <w:rsid w:val="4EF90CA7"/>
    <w:rsid w:val="4F410BD2"/>
    <w:rsid w:val="4F423891"/>
    <w:rsid w:val="4F45538A"/>
    <w:rsid w:val="4F550CC9"/>
    <w:rsid w:val="4F6D0B9B"/>
    <w:rsid w:val="4F72262C"/>
    <w:rsid w:val="4F7A3C60"/>
    <w:rsid w:val="4F7A7EE4"/>
    <w:rsid w:val="4FDF51C6"/>
    <w:rsid w:val="4FFA3095"/>
    <w:rsid w:val="500C7349"/>
    <w:rsid w:val="50144E15"/>
    <w:rsid w:val="50223B85"/>
    <w:rsid w:val="50425775"/>
    <w:rsid w:val="506555D2"/>
    <w:rsid w:val="50A72DD4"/>
    <w:rsid w:val="50AB678D"/>
    <w:rsid w:val="50CC660C"/>
    <w:rsid w:val="511569F5"/>
    <w:rsid w:val="512D7F9E"/>
    <w:rsid w:val="51822EEB"/>
    <w:rsid w:val="518F0B88"/>
    <w:rsid w:val="5197618F"/>
    <w:rsid w:val="51D17E8A"/>
    <w:rsid w:val="51E57EA5"/>
    <w:rsid w:val="51F415F5"/>
    <w:rsid w:val="520208B2"/>
    <w:rsid w:val="522104AA"/>
    <w:rsid w:val="52272F39"/>
    <w:rsid w:val="52440483"/>
    <w:rsid w:val="52536B2B"/>
    <w:rsid w:val="526A5E6B"/>
    <w:rsid w:val="526F2B52"/>
    <w:rsid w:val="52BE0512"/>
    <w:rsid w:val="52C23AEB"/>
    <w:rsid w:val="531B1586"/>
    <w:rsid w:val="537B7AD7"/>
    <w:rsid w:val="538734A0"/>
    <w:rsid w:val="53B20DDC"/>
    <w:rsid w:val="53E52019"/>
    <w:rsid w:val="53FD13CD"/>
    <w:rsid w:val="541C7C40"/>
    <w:rsid w:val="547706B5"/>
    <w:rsid w:val="547C2D16"/>
    <w:rsid w:val="54A469DF"/>
    <w:rsid w:val="54C17CEA"/>
    <w:rsid w:val="54CE63BB"/>
    <w:rsid w:val="54EC297B"/>
    <w:rsid w:val="54F16968"/>
    <w:rsid w:val="5500313B"/>
    <w:rsid w:val="55183D84"/>
    <w:rsid w:val="55412179"/>
    <w:rsid w:val="555E1733"/>
    <w:rsid w:val="557B3026"/>
    <w:rsid w:val="55804060"/>
    <w:rsid w:val="559D1F13"/>
    <w:rsid w:val="55AF2380"/>
    <w:rsid w:val="55D152A6"/>
    <w:rsid w:val="56177D39"/>
    <w:rsid w:val="562D29ED"/>
    <w:rsid w:val="56345EBC"/>
    <w:rsid w:val="563F2A3F"/>
    <w:rsid w:val="56536953"/>
    <w:rsid w:val="565F331A"/>
    <w:rsid w:val="569B6095"/>
    <w:rsid w:val="56A60FEB"/>
    <w:rsid w:val="56CE11EC"/>
    <w:rsid w:val="56DF6A4C"/>
    <w:rsid w:val="56EB5E49"/>
    <w:rsid w:val="56FE7103"/>
    <w:rsid w:val="570F2B7F"/>
    <w:rsid w:val="571C12B4"/>
    <w:rsid w:val="573D11D3"/>
    <w:rsid w:val="574F06DB"/>
    <w:rsid w:val="575C3D51"/>
    <w:rsid w:val="575D6629"/>
    <w:rsid w:val="577211BB"/>
    <w:rsid w:val="58093C65"/>
    <w:rsid w:val="5835413B"/>
    <w:rsid w:val="58884A2F"/>
    <w:rsid w:val="589617A9"/>
    <w:rsid w:val="58A330ED"/>
    <w:rsid w:val="58A97470"/>
    <w:rsid w:val="58BC4058"/>
    <w:rsid w:val="58CE535C"/>
    <w:rsid w:val="58FC7EA8"/>
    <w:rsid w:val="5905362C"/>
    <w:rsid w:val="590D176A"/>
    <w:rsid w:val="590D3B09"/>
    <w:rsid w:val="591C5A6B"/>
    <w:rsid w:val="592E6B51"/>
    <w:rsid w:val="593D512E"/>
    <w:rsid w:val="596415FC"/>
    <w:rsid w:val="596455E2"/>
    <w:rsid w:val="598F0769"/>
    <w:rsid w:val="5A1402CC"/>
    <w:rsid w:val="5A4009A8"/>
    <w:rsid w:val="5A44535C"/>
    <w:rsid w:val="5A447059"/>
    <w:rsid w:val="5A4F321A"/>
    <w:rsid w:val="5A553C3A"/>
    <w:rsid w:val="5A630199"/>
    <w:rsid w:val="5A775598"/>
    <w:rsid w:val="5A841222"/>
    <w:rsid w:val="5ADD7ED9"/>
    <w:rsid w:val="5AE70B10"/>
    <w:rsid w:val="5B002E94"/>
    <w:rsid w:val="5B3221AA"/>
    <w:rsid w:val="5B463A84"/>
    <w:rsid w:val="5B6F782C"/>
    <w:rsid w:val="5B73752C"/>
    <w:rsid w:val="5B7B115E"/>
    <w:rsid w:val="5BAA5192"/>
    <w:rsid w:val="5BAF738F"/>
    <w:rsid w:val="5C0144B9"/>
    <w:rsid w:val="5C061F8E"/>
    <w:rsid w:val="5C125734"/>
    <w:rsid w:val="5C2659E5"/>
    <w:rsid w:val="5C2A6B4C"/>
    <w:rsid w:val="5C2D1015"/>
    <w:rsid w:val="5C6779F8"/>
    <w:rsid w:val="5C6B1D28"/>
    <w:rsid w:val="5C9327DD"/>
    <w:rsid w:val="5CA64BA0"/>
    <w:rsid w:val="5CAC1385"/>
    <w:rsid w:val="5CC67DA3"/>
    <w:rsid w:val="5D0B1ACB"/>
    <w:rsid w:val="5D210A11"/>
    <w:rsid w:val="5D2C5F2A"/>
    <w:rsid w:val="5D2D3DC3"/>
    <w:rsid w:val="5D403DD2"/>
    <w:rsid w:val="5D5D28CB"/>
    <w:rsid w:val="5DAD1FB0"/>
    <w:rsid w:val="5DD739DB"/>
    <w:rsid w:val="5DE330BE"/>
    <w:rsid w:val="5DFB0D8F"/>
    <w:rsid w:val="5E152D9A"/>
    <w:rsid w:val="5E937ADE"/>
    <w:rsid w:val="5E9F1C3F"/>
    <w:rsid w:val="5F1D1E4C"/>
    <w:rsid w:val="5F371500"/>
    <w:rsid w:val="5F5A61A1"/>
    <w:rsid w:val="5F5D46E6"/>
    <w:rsid w:val="5F690596"/>
    <w:rsid w:val="5F9C1CE0"/>
    <w:rsid w:val="5FA47A6C"/>
    <w:rsid w:val="5FD26B7E"/>
    <w:rsid w:val="5FD8444A"/>
    <w:rsid w:val="5FDD755F"/>
    <w:rsid w:val="5FFA6284"/>
    <w:rsid w:val="601B6563"/>
    <w:rsid w:val="60772AA9"/>
    <w:rsid w:val="61012BEF"/>
    <w:rsid w:val="612A3050"/>
    <w:rsid w:val="612B0C0A"/>
    <w:rsid w:val="6149215A"/>
    <w:rsid w:val="614E68C8"/>
    <w:rsid w:val="6151485D"/>
    <w:rsid w:val="616027E2"/>
    <w:rsid w:val="617C18D9"/>
    <w:rsid w:val="61944F38"/>
    <w:rsid w:val="619B2336"/>
    <w:rsid w:val="61DE5889"/>
    <w:rsid w:val="6284686A"/>
    <w:rsid w:val="62932A54"/>
    <w:rsid w:val="62941657"/>
    <w:rsid w:val="62AF4EBA"/>
    <w:rsid w:val="632020F3"/>
    <w:rsid w:val="63246D2B"/>
    <w:rsid w:val="632E1F63"/>
    <w:rsid w:val="633621EB"/>
    <w:rsid w:val="63836091"/>
    <w:rsid w:val="63C50A8F"/>
    <w:rsid w:val="63CC60A6"/>
    <w:rsid w:val="63F61235"/>
    <w:rsid w:val="64267ED9"/>
    <w:rsid w:val="6436647B"/>
    <w:rsid w:val="6439450F"/>
    <w:rsid w:val="644E410B"/>
    <w:rsid w:val="645D7B86"/>
    <w:rsid w:val="64692A6A"/>
    <w:rsid w:val="64840195"/>
    <w:rsid w:val="64930F44"/>
    <w:rsid w:val="649355EA"/>
    <w:rsid w:val="64991BB4"/>
    <w:rsid w:val="64B51C0D"/>
    <w:rsid w:val="64C9632A"/>
    <w:rsid w:val="64CA511C"/>
    <w:rsid w:val="64FD2C3A"/>
    <w:rsid w:val="650E0AF1"/>
    <w:rsid w:val="6510083D"/>
    <w:rsid w:val="6529496A"/>
    <w:rsid w:val="654355F4"/>
    <w:rsid w:val="654B1316"/>
    <w:rsid w:val="65566ED6"/>
    <w:rsid w:val="657204B1"/>
    <w:rsid w:val="659979DF"/>
    <w:rsid w:val="65A802B2"/>
    <w:rsid w:val="65B0017A"/>
    <w:rsid w:val="65C27D8F"/>
    <w:rsid w:val="65F8256C"/>
    <w:rsid w:val="660173C0"/>
    <w:rsid w:val="661628D9"/>
    <w:rsid w:val="66187160"/>
    <w:rsid w:val="662066C2"/>
    <w:rsid w:val="66367681"/>
    <w:rsid w:val="66655CA5"/>
    <w:rsid w:val="66893376"/>
    <w:rsid w:val="669C7F34"/>
    <w:rsid w:val="66AF7E0E"/>
    <w:rsid w:val="66B1774E"/>
    <w:rsid w:val="672047E0"/>
    <w:rsid w:val="672D2499"/>
    <w:rsid w:val="675B7459"/>
    <w:rsid w:val="676423AF"/>
    <w:rsid w:val="679B2B0E"/>
    <w:rsid w:val="679C6021"/>
    <w:rsid w:val="67E6680A"/>
    <w:rsid w:val="680B4815"/>
    <w:rsid w:val="686B4497"/>
    <w:rsid w:val="68863099"/>
    <w:rsid w:val="68AC6F2A"/>
    <w:rsid w:val="68B16618"/>
    <w:rsid w:val="68E55B69"/>
    <w:rsid w:val="68F93E3B"/>
    <w:rsid w:val="692815CF"/>
    <w:rsid w:val="69463E35"/>
    <w:rsid w:val="699927C4"/>
    <w:rsid w:val="69D136A1"/>
    <w:rsid w:val="69DF2B56"/>
    <w:rsid w:val="6A72689A"/>
    <w:rsid w:val="6A936D18"/>
    <w:rsid w:val="6A9A5697"/>
    <w:rsid w:val="6ACB72DC"/>
    <w:rsid w:val="6AD60984"/>
    <w:rsid w:val="6ADA2485"/>
    <w:rsid w:val="6B100C7D"/>
    <w:rsid w:val="6B174D21"/>
    <w:rsid w:val="6B1D439F"/>
    <w:rsid w:val="6B456F00"/>
    <w:rsid w:val="6B752DE4"/>
    <w:rsid w:val="6B791F94"/>
    <w:rsid w:val="6B7D37C6"/>
    <w:rsid w:val="6B7F5A29"/>
    <w:rsid w:val="6B906C9B"/>
    <w:rsid w:val="6BA071A3"/>
    <w:rsid w:val="6BA17329"/>
    <w:rsid w:val="6BA8091C"/>
    <w:rsid w:val="6BAF08D4"/>
    <w:rsid w:val="6BB7436A"/>
    <w:rsid w:val="6BC55D72"/>
    <w:rsid w:val="6BE20844"/>
    <w:rsid w:val="6C0D29F3"/>
    <w:rsid w:val="6C316B27"/>
    <w:rsid w:val="6C420FA3"/>
    <w:rsid w:val="6C4D57F2"/>
    <w:rsid w:val="6C5D05D2"/>
    <w:rsid w:val="6CAF3C42"/>
    <w:rsid w:val="6CBB1E35"/>
    <w:rsid w:val="6CCC65EF"/>
    <w:rsid w:val="6CD71472"/>
    <w:rsid w:val="6CF304DF"/>
    <w:rsid w:val="6D0E154C"/>
    <w:rsid w:val="6D290768"/>
    <w:rsid w:val="6D292CCD"/>
    <w:rsid w:val="6D3215BE"/>
    <w:rsid w:val="6D5A0812"/>
    <w:rsid w:val="6DC04404"/>
    <w:rsid w:val="6DED4D3C"/>
    <w:rsid w:val="6E3D5776"/>
    <w:rsid w:val="6E5C17A3"/>
    <w:rsid w:val="6E8B2F81"/>
    <w:rsid w:val="6E8E0793"/>
    <w:rsid w:val="6EA92D81"/>
    <w:rsid w:val="6EF1234B"/>
    <w:rsid w:val="6F127420"/>
    <w:rsid w:val="6F1D2D79"/>
    <w:rsid w:val="6F2363F0"/>
    <w:rsid w:val="6F2A414F"/>
    <w:rsid w:val="6F493B46"/>
    <w:rsid w:val="6F4A59EA"/>
    <w:rsid w:val="6F5A70A9"/>
    <w:rsid w:val="6F5D77FF"/>
    <w:rsid w:val="6F751A20"/>
    <w:rsid w:val="6FA849C3"/>
    <w:rsid w:val="6FB318D0"/>
    <w:rsid w:val="70175D31"/>
    <w:rsid w:val="7028106A"/>
    <w:rsid w:val="702D7B7D"/>
    <w:rsid w:val="704656C0"/>
    <w:rsid w:val="704C4ABB"/>
    <w:rsid w:val="70713431"/>
    <w:rsid w:val="70760167"/>
    <w:rsid w:val="70827302"/>
    <w:rsid w:val="709863E1"/>
    <w:rsid w:val="70B8500F"/>
    <w:rsid w:val="70F568B0"/>
    <w:rsid w:val="70FD2B10"/>
    <w:rsid w:val="71095E69"/>
    <w:rsid w:val="711B7CFC"/>
    <w:rsid w:val="714638BD"/>
    <w:rsid w:val="71A23DE5"/>
    <w:rsid w:val="71CC3834"/>
    <w:rsid w:val="71E23F89"/>
    <w:rsid w:val="71E92075"/>
    <w:rsid w:val="720B6EA2"/>
    <w:rsid w:val="721E1AF0"/>
    <w:rsid w:val="721E4041"/>
    <w:rsid w:val="72247B32"/>
    <w:rsid w:val="7238710C"/>
    <w:rsid w:val="72623720"/>
    <w:rsid w:val="729D6426"/>
    <w:rsid w:val="72A01749"/>
    <w:rsid w:val="72BF5211"/>
    <w:rsid w:val="72C05FC8"/>
    <w:rsid w:val="72C07712"/>
    <w:rsid w:val="72CF2447"/>
    <w:rsid w:val="72D00B0F"/>
    <w:rsid w:val="72D8732B"/>
    <w:rsid w:val="72E503E5"/>
    <w:rsid w:val="73220339"/>
    <w:rsid w:val="73301AE1"/>
    <w:rsid w:val="73577DDB"/>
    <w:rsid w:val="735B2617"/>
    <w:rsid w:val="736C5F5D"/>
    <w:rsid w:val="73D40106"/>
    <w:rsid w:val="73D8072B"/>
    <w:rsid w:val="73E01954"/>
    <w:rsid w:val="73E40234"/>
    <w:rsid w:val="74090274"/>
    <w:rsid w:val="741D247B"/>
    <w:rsid w:val="7424432F"/>
    <w:rsid w:val="74244350"/>
    <w:rsid w:val="74310A7E"/>
    <w:rsid w:val="74470A4E"/>
    <w:rsid w:val="74652B22"/>
    <w:rsid w:val="74696DC2"/>
    <w:rsid w:val="747A3CC4"/>
    <w:rsid w:val="74980627"/>
    <w:rsid w:val="74997961"/>
    <w:rsid w:val="749B50A4"/>
    <w:rsid w:val="74CB2D70"/>
    <w:rsid w:val="74EB0F91"/>
    <w:rsid w:val="74F76C4F"/>
    <w:rsid w:val="75036B26"/>
    <w:rsid w:val="7527591C"/>
    <w:rsid w:val="75473880"/>
    <w:rsid w:val="7589437B"/>
    <w:rsid w:val="7599657A"/>
    <w:rsid w:val="75A849CA"/>
    <w:rsid w:val="75BE6395"/>
    <w:rsid w:val="75CC3E08"/>
    <w:rsid w:val="75D24225"/>
    <w:rsid w:val="75DB0F17"/>
    <w:rsid w:val="75FB2C19"/>
    <w:rsid w:val="7613016E"/>
    <w:rsid w:val="76186119"/>
    <w:rsid w:val="76740F1E"/>
    <w:rsid w:val="767439D0"/>
    <w:rsid w:val="76A50F09"/>
    <w:rsid w:val="76D220CE"/>
    <w:rsid w:val="76EF4737"/>
    <w:rsid w:val="77364A72"/>
    <w:rsid w:val="774425D0"/>
    <w:rsid w:val="77534B5E"/>
    <w:rsid w:val="777C26B4"/>
    <w:rsid w:val="77CC6F13"/>
    <w:rsid w:val="77DF061C"/>
    <w:rsid w:val="780D70F3"/>
    <w:rsid w:val="78306EF8"/>
    <w:rsid w:val="78340398"/>
    <w:rsid w:val="78836654"/>
    <w:rsid w:val="788D0113"/>
    <w:rsid w:val="788F4000"/>
    <w:rsid w:val="78A93C2D"/>
    <w:rsid w:val="78BA658F"/>
    <w:rsid w:val="78E674C1"/>
    <w:rsid w:val="78F20B6E"/>
    <w:rsid w:val="79305A19"/>
    <w:rsid w:val="7937496A"/>
    <w:rsid w:val="798175E5"/>
    <w:rsid w:val="79904450"/>
    <w:rsid w:val="7991182E"/>
    <w:rsid w:val="79A612B2"/>
    <w:rsid w:val="79D92139"/>
    <w:rsid w:val="79D96905"/>
    <w:rsid w:val="79DC647D"/>
    <w:rsid w:val="79EA070F"/>
    <w:rsid w:val="7A537B18"/>
    <w:rsid w:val="7A5B2271"/>
    <w:rsid w:val="7A656080"/>
    <w:rsid w:val="7A6E0552"/>
    <w:rsid w:val="7A750452"/>
    <w:rsid w:val="7A761DA0"/>
    <w:rsid w:val="7AA30883"/>
    <w:rsid w:val="7AEA1CF5"/>
    <w:rsid w:val="7AEA6821"/>
    <w:rsid w:val="7AEC460A"/>
    <w:rsid w:val="7AF524C9"/>
    <w:rsid w:val="7B14332E"/>
    <w:rsid w:val="7B192317"/>
    <w:rsid w:val="7B221A76"/>
    <w:rsid w:val="7B4A57C5"/>
    <w:rsid w:val="7B7A59E8"/>
    <w:rsid w:val="7B834DE1"/>
    <w:rsid w:val="7B904A73"/>
    <w:rsid w:val="7BA8746A"/>
    <w:rsid w:val="7BB36ED2"/>
    <w:rsid w:val="7BFC6F6E"/>
    <w:rsid w:val="7C2F0B3A"/>
    <w:rsid w:val="7C6739C4"/>
    <w:rsid w:val="7C71755F"/>
    <w:rsid w:val="7CA11A08"/>
    <w:rsid w:val="7CE0054D"/>
    <w:rsid w:val="7CEB3E33"/>
    <w:rsid w:val="7CEE6656"/>
    <w:rsid w:val="7D0B0D5D"/>
    <w:rsid w:val="7D1B37C6"/>
    <w:rsid w:val="7D492120"/>
    <w:rsid w:val="7D5516F3"/>
    <w:rsid w:val="7D6E1E08"/>
    <w:rsid w:val="7D812E66"/>
    <w:rsid w:val="7D9608B1"/>
    <w:rsid w:val="7D9A38A3"/>
    <w:rsid w:val="7DBB58A3"/>
    <w:rsid w:val="7DD31E31"/>
    <w:rsid w:val="7DE22C39"/>
    <w:rsid w:val="7DE466EA"/>
    <w:rsid w:val="7E2D24BA"/>
    <w:rsid w:val="7E6B2F5B"/>
    <w:rsid w:val="7E6B4A29"/>
    <w:rsid w:val="7E74494B"/>
    <w:rsid w:val="7E891A65"/>
    <w:rsid w:val="7E904581"/>
    <w:rsid w:val="7E9A416D"/>
    <w:rsid w:val="7E9B346A"/>
    <w:rsid w:val="7EA16B20"/>
    <w:rsid w:val="7EA57A42"/>
    <w:rsid w:val="7EAB7E6A"/>
    <w:rsid w:val="7EC56809"/>
    <w:rsid w:val="7F00499B"/>
    <w:rsid w:val="7F1047FB"/>
    <w:rsid w:val="7F2337C4"/>
    <w:rsid w:val="7F5431C7"/>
    <w:rsid w:val="7F775B8B"/>
    <w:rsid w:val="7F9267BD"/>
    <w:rsid w:val="7FB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_GB2312" w:eastAsia="仿宋_GB2312" w:hAnsiTheme="minorHAnsi" w:cstheme="minorBidi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ind w:firstLine="200"/>
      <w:outlineLvl w:val="0"/>
    </w:pPr>
    <w:rPr>
      <w:rFonts w:eastAsia="黑体"/>
      <w:bCs/>
      <w:kern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ind w:firstLine="200"/>
      <w:outlineLvl w:val="1"/>
    </w:pPr>
    <w:rPr>
      <w:rFonts w:ascii="Arial" w:hAnsi="Arial" w:eastAsia="楷体_GB2312"/>
    </w:rPr>
  </w:style>
  <w:style w:type="paragraph" w:styleId="6">
    <w:name w:val="heading 3"/>
    <w:basedOn w:val="1"/>
    <w:next w:val="1"/>
    <w:unhideWhenUsed/>
    <w:qFormat/>
    <w:uiPriority w:val="0"/>
    <w:pPr>
      <w:ind w:firstLine="200"/>
      <w:outlineLvl w:val="2"/>
    </w:pPr>
    <w:rPr>
      <w:b/>
      <w:bCs/>
      <w:szCs w:val="32"/>
    </w:rPr>
  </w:style>
  <w:style w:type="paragraph" w:styleId="7">
    <w:name w:val="heading 4"/>
    <w:basedOn w:val="1"/>
    <w:next w:val="1"/>
    <w:unhideWhenUsed/>
    <w:qFormat/>
    <w:uiPriority w:val="0"/>
    <w:pPr>
      <w:ind w:firstLine="0" w:firstLineChars="0"/>
      <w:jc w:val="center"/>
      <w:outlineLvl w:val="3"/>
    </w:pPr>
    <w:rPr>
      <w:rFonts w:ascii="宋体" w:hAnsi="宋体" w:eastAsia="宋体" w:cstheme="majorBidi"/>
      <w:bCs/>
      <w:szCs w:val="28"/>
    </w:rPr>
  </w:style>
  <w:style w:type="paragraph" w:styleId="8">
    <w:name w:val="heading 5"/>
    <w:basedOn w:val="1"/>
    <w:next w:val="1"/>
    <w:unhideWhenUsed/>
    <w:qFormat/>
    <w:uiPriority w:val="0"/>
    <w:pPr>
      <w:keepNext/>
      <w:keepLines/>
      <w:jc w:val="center"/>
      <w:outlineLvl w:val="4"/>
    </w:pPr>
    <w:rPr>
      <w:rFonts w:ascii="Times New Roman" w:hAnsi="Times New Roman" w:eastAsia="宋体"/>
      <w:sz w:val="24"/>
      <w:szCs w:val="22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2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7">
    <w:name w:val="Table Grid"/>
    <w:basedOn w:val="1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9">
    <w:name w:val="FollowedHyperlink"/>
    <w:basedOn w:val="18"/>
    <w:qFormat/>
    <w:uiPriority w:val="0"/>
    <w:rPr>
      <w:color w:val="333333"/>
      <w:u w:val="none"/>
    </w:rPr>
  </w:style>
  <w:style w:type="character" w:customStyle="1" w:styleId="20">
    <w:name w:val="font3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1">
    <w:name w:val="font1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正文1"/>
    <w:basedOn w:val="1"/>
    <w:qFormat/>
    <w:uiPriority w:val="0"/>
    <w:pPr>
      <w:autoSpaceDE w:val="0"/>
      <w:autoSpaceDN w:val="0"/>
      <w:spacing w:line="240" w:lineRule="auto"/>
      <w:ind w:firstLine="723"/>
      <w:jc w:val="left"/>
    </w:pPr>
    <w:rPr>
      <w:rFonts w:ascii="Times New Roman" w:hAnsi="Times New Roman" w:eastAsia="仿宋" w:cs="Times New Roman"/>
      <w:kern w:val="0"/>
      <w:szCs w:val="22"/>
      <w:lang w:val="zh-CN" w:bidi="zh-CN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绩效评价正文"/>
    <w:basedOn w:val="1"/>
    <w:link w:val="27"/>
    <w:qFormat/>
    <w:uiPriority w:val="0"/>
    <w:pPr>
      <w:spacing w:line="360" w:lineRule="auto"/>
      <w:ind w:firstLine="640" w:firstLineChars="200"/>
    </w:pPr>
    <w:rPr>
      <w:rFonts w:ascii="仿宋_GB2312" w:hAnsi="仿宋_GB2312" w:eastAsia="仿宋_GB2312"/>
      <w:sz w:val="28"/>
      <w:szCs w:val="32"/>
    </w:rPr>
  </w:style>
  <w:style w:type="character" w:customStyle="1" w:styleId="27">
    <w:name w:val="绩效评价正文 Char"/>
    <w:link w:val="26"/>
    <w:qFormat/>
    <w:uiPriority w:val="0"/>
    <w:rPr>
      <w:rFonts w:ascii="仿宋_GB2312" w:hAnsi="仿宋_GB2312" w:eastAsia="仿宋_GB2312"/>
      <w:sz w:val="28"/>
      <w:szCs w:val="32"/>
    </w:rPr>
  </w:style>
  <w:style w:type="paragraph" w:customStyle="1" w:styleId="28">
    <w:name w:val="闻政标题3"/>
    <w:basedOn w:val="6"/>
    <w:next w:val="1"/>
    <w:qFormat/>
    <w:uiPriority w:val="99"/>
    <w:pPr>
      <w:spacing w:before="120" w:after="60" w:line="500" w:lineRule="exact"/>
      <w:jc w:val="left"/>
      <w:outlineLvl w:val="0"/>
    </w:pPr>
    <w:rPr>
      <w:rFonts w:ascii="黑体" w:hAnsi="黑体" w:eastAsia="黑体" w:cs="宋体"/>
      <w:b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7487</Words>
  <Characters>8510</Characters>
  <Lines>0</Lines>
  <Paragraphs>0</Paragraphs>
  <TotalTime>4</TotalTime>
  <ScaleCrop>false</ScaleCrop>
  <LinksUpToDate>false</LinksUpToDate>
  <CharactersWithSpaces>8582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2021-01-29T00:50:00Z</dcterms:created>
  <dc:creator>跟空气撒个娇</dc:creator>
  <cp:lastModifiedBy>李智勇</cp:lastModifiedBy>
  <dcterms:modified xsi:type="dcterms:W3CDTF">2022-09-13T11:38:40Z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63115426408249D5A3FDB117FC258D56</vt:lpwstr>
  </property>
</Properties>
</file>