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rPr>
      </w:pPr>
    </w:p>
    <w:p>
      <w:pPr>
        <w:bidi w:val="0"/>
        <w:rPr>
          <w:rFonts w:hint="eastAsia"/>
        </w:rPr>
      </w:pPr>
    </w:p>
    <w:p>
      <w:pPr>
        <w:pStyle w:val="7"/>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宁武县</w:t>
      </w:r>
      <w:r>
        <w:rPr>
          <w:rFonts w:hint="eastAsia" w:ascii="方正小标宋简体" w:hAnsi="方正小标宋简体" w:eastAsia="方正小标宋简体" w:cs="方正小标宋简体"/>
          <w:sz w:val="44"/>
          <w:szCs w:val="44"/>
          <w:lang w:val="en-US" w:eastAsia="zh-CN"/>
        </w:rPr>
        <w:t>东寨镇人民政府</w:t>
      </w:r>
      <w:r>
        <w:rPr>
          <w:rFonts w:hint="eastAsia" w:ascii="方正小标宋简体" w:hAnsi="方正小标宋简体" w:eastAsia="方正小标宋简体" w:cs="方正小标宋简体"/>
          <w:sz w:val="44"/>
          <w:szCs w:val="44"/>
        </w:rPr>
        <w:t>2020年统筹整合</w:t>
      </w:r>
    </w:p>
    <w:p>
      <w:pPr>
        <w:pStyle w:val="7"/>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财政资金绩效评价报告</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单位名称</w:t>
      </w:r>
      <w:r>
        <w:rPr>
          <w:rFonts w:hint="eastAsia" w:ascii="黑体" w:hAnsi="黑体" w:eastAsia="黑体" w:cs="黑体"/>
          <w:kern w:val="0"/>
          <w:sz w:val="32"/>
          <w:szCs w:val="32"/>
        </w:rPr>
        <w:t>：宁武县</w:t>
      </w:r>
      <w:r>
        <w:rPr>
          <w:rFonts w:hint="eastAsia" w:ascii="黑体" w:hAnsi="黑体" w:eastAsia="黑体" w:cs="黑体"/>
          <w:kern w:val="0"/>
          <w:sz w:val="32"/>
          <w:szCs w:val="32"/>
          <w:lang w:val="en-US" w:eastAsia="zh-CN"/>
        </w:rPr>
        <w:t>东寨镇人民政府</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委托单位：宁武县财政局</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评价机构：山西亚泰会计师事务所有限公司</w:t>
      </w:r>
    </w:p>
    <w:p>
      <w:pPr>
        <w:bidi w:val="0"/>
      </w:pPr>
    </w:p>
    <w:p>
      <w:pPr>
        <w:autoSpaceDE w:val="0"/>
        <w:autoSpaceDN w:val="0"/>
        <w:adjustRightInd w:val="0"/>
        <w:ind w:firstLine="0" w:firstLineChars="0"/>
        <w:jc w:val="center"/>
        <w:sectPr>
          <w:footerReference r:id="rId5" w:type="default"/>
          <w:pgSz w:w="11905" w:h="16838"/>
          <w:pgMar w:top="2041" w:right="1417" w:bottom="1417" w:left="1531" w:header="850" w:footer="850" w:gutter="0"/>
          <w:pgBorders>
            <w:top w:val="none" w:sz="0" w:space="0"/>
            <w:left w:val="none" w:sz="0" w:space="0"/>
            <w:bottom w:val="none" w:sz="0" w:space="0"/>
            <w:right w:val="none" w:sz="0" w:space="0"/>
          </w:pgBorders>
          <w:pgNumType w:start="1"/>
          <w:cols w:space="720" w:num="1"/>
          <w:docGrid w:linePitch="312" w:charSpace="0"/>
        </w:sectPr>
      </w:pPr>
      <w:r>
        <w:rPr>
          <w:rFonts w:hint="eastAsia" w:ascii="黑体" w:hAnsi="黑体" w:eastAsia="黑体" w:cs="黑体"/>
          <w:kern w:val="0"/>
          <w:sz w:val="32"/>
          <w:szCs w:val="32"/>
        </w:rPr>
        <w:t>二〇二一年十月</w:t>
      </w:r>
    </w:p>
    <w:p>
      <w:pPr>
        <w:ind w:firstLine="0" w:firstLineChars="0"/>
        <w:jc w:val="center"/>
        <w:outlineLvl w:val="0"/>
        <w:rPr>
          <w:rFonts w:ascii="方正小标宋简体" w:hAnsi="方正小标宋简体" w:eastAsia="方正小标宋简体" w:cs="方正小标宋简体"/>
          <w:sz w:val="36"/>
          <w:szCs w:val="36"/>
        </w:rPr>
      </w:pPr>
      <w:bookmarkStart w:id="0" w:name="_Toc11606"/>
      <w:bookmarkStart w:id="1" w:name="_Toc18529"/>
      <w:bookmarkStart w:id="2" w:name="_Toc23408"/>
      <w:bookmarkStart w:id="3" w:name="_Toc1318"/>
      <w:bookmarkStart w:id="4" w:name="_Toc15483"/>
      <w:bookmarkStart w:id="5" w:name="_Toc6051"/>
      <w:bookmarkStart w:id="6" w:name="_Toc29581"/>
      <w:bookmarkStart w:id="7" w:name="_Toc15846"/>
      <w:bookmarkStart w:id="8" w:name="_Toc10238"/>
      <w:r>
        <w:rPr>
          <w:rFonts w:hint="eastAsia" w:ascii="方正小标宋简体" w:hAnsi="方正小标宋简体" w:eastAsia="方正小标宋简体" w:cs="方正小标宋简体"/>
          <w:sz w:val="36"/>
          <w:szCs w:val="36"/>
        </w:rPr>
        <w:t>宁武县</w:t>
      </w:r>
      <w:r>
        <w:rPr>
          <w:rFonts w:hint="eastAsia" w:ascii="方正小标宋简体" w:hAnsi="方正小标宋简体" w:eastAsia="方正小标宋简体" w:cs="方正小标宋简体"/>
          <w:sz w:val="36"/>
          <w:szCs w:val="36"/>
          <w:lang w:val="en-US" w:eastAsia="zh-CN"/>
        </w:rPr>
        <w:t>东寨镇人民政府2</w:t>
      </w:r>
      <w:r>
        <w:rPr>
          <w:rFonts w:hint="eastAsia" w:ascii="方正小标宋简体" w:hAnsi="方正小标宋简体" w:eastAsia="方正小标宋简体" w:cs="方正小标宋简体"/>
          <w:sz w:val="36"/>
          <w:szCs w:val="36"/>
        </w:rPr>
        <w:t>020年统筹整合</w:t>
      </w:r>
      <w:bookmarkEnd w:id="0"/>
      <w:bookmarkEnd w:id="1"/>
      <w:bookmarkEnd w:id="2"/>
    </w:p>
    <w:p>
      <w:pPr>
        <w:ind w:firstLine="0" w:firstLineChars="0"/>
        <w:jc w:val="center"/>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财政</w:t>
      </w:r>
      <w:r>
        <w:rPr>
          <w:rFonts w:hint="eastAsia" w:ascii="方正小标宋简体" w:hAnsi="方正小标宋简体" w:eastAsia="方正小标宋简体" w:cs="方正小标宋简体"/>
          <w:sz w:val="36"/>
          <w:szCs w:val="36"/>
          <w:lang w:val="en-US" w:eastAsia="zh-CN"/>
        </w:rPr>
        <w:t>资金</w:t>
      </w:r>
      <w:r>
        <w:rPr>
          <w:rFonts w:hint="eastAsia" w:ascii="方正小标宋简体" w:hAnsi="方正小标宋简体" w:eastAsia="方正小标宋简体" w:cs="方正小标宋简体"/>
          <w:sz w:val="36"/>
          <w:szCs w:val="36"/>
        </w:rPr>
        <w:t>绩效评价报告</w:t>
      </w:r>
      <w:bookmarkEnd w:id="3"/>
      <w:bookmarkEnd w:id="4"/>
      <w:bookmarkEnd w:id="5"/>
      <w:bookmarkEnd w:id="6"/>
      <w:bookmarkEnd w:id="7"/>
      <w:bookmarkEnd w:id="8"/>
    </w:p>
    <w:p>
      <w:pPr>
        <w:bidi w:val="0"/>
      </w:pPr>
      <w:r>
        <w:rPr>
          <w:rFonts w:hint="eastAsia"/>
          <w:lang w:val="en-US" w:eastAsia="zh-CN"/>
        </w:rPr>
        <w:t>为深入贯彻落实《中共山西省委 山西省人民政府关于全面实施预算绩效管理的实施意见》（晋发〔2018〕39号）精神，全面实施预算绩效管理，提高财政资源配置效率和使用效益，增强财政支出的责任和效率意识，受宁武县财政局委托，山西亚泰会计师事务所有限公司于2021年6月对</w:t>
      </w:r>
      <w:r>
        <w:rPr>
          <w:rFonts w:hint="eastAsia"/>
        </w:rPr>
        <w:t>宁武县</w:t>
      </w:r>
      <w:r>
        <w:rPr>
          <w:rFonts w:hint="eastAsia"/>
          <w:lang w:val="en-US" w:eastAsia="zh-CN"/>
        </w:rPr>
        <w:t>东寨镇人民政府2</w:t>
      </w:r>
      <w:r>
        <w:rPr>
          <w:rFonts w:hint="eastAsia"/>
        </w:rPr>
        <w:t>020年统筹整合</w:t>
      </w:r>
      <w:r>
        <w:rPr>
          <w:rFonts w:hint="eastAsia"/>
          <w:lang w:val="en-US" w:eastAsia="zh-CN"/>
        </w:rPr>
        <w:t>财政资金进行了绩效评价。</w:t>
      </w:r>
    </w:p>
    <w:p>
      <w:pPr>
        <w:pStyle w:val="4"/>
        <w:ind w:firstLine="560"/>
      </w:pPr>
      <w:bookmarkStart w:id="9" w:name="_Toc29878"/>
      <w:bookmarkStart w:id="10" w:name="_Toc4261"/>
      <w:r>
        <w:rPr>
          <w:rFonts w:hint="eastAsia"/>
        </w:rPr>
        <w:t>一、项目基本情况</w:t>
      </w:r>
      <w:bookmarkEnd w:id="9"/>
      <w:bookmarkEnd w:id="10"/>
      <w:r>
        <w:rPr>
          <w:rFonts w:hint="eastAsia"/>
        </w:rPr>
        <w:tab/>
      </w:r>
    </w:p>
    <w:p>
      <w:pPr>
        <w:pStyle w:val="5"/>
        <w:ind w:firstLine="560"/>
        <w:rPr>
          <w:rFonts w:hint="eastAsia" w:eastAsia="楷体_GB2312"/>
          <w:lang w:eastAsia="zh-CN"/>
        </w:rPr>
      </w:pPr>
      <w:bookmarkStart w:id="11" w:name="_Toc19029"/>
      <w:bookmarkStart w:id="12" w:name="_Toc28384"/>
      <w:r>
        <w:rPr>
          <w:rFonts w:hint="eastAsia"/>
          <w:lang w:eastAsia="zh-CN"/>
        </w:rPr>
        <w:t>（</w:t>
      </w:r>
      <w:r>
        <w:rPr>
          <w:rFonts w:hint="eastAsia"/>
          <w:lang w:val="en-US" w:eastAsia="zh-CN"/>
        </w:rPr>
        <w:t>一</w:t>
      </w:r>
      <w:r>
        <w:rPr>
          <w:rFonts w:hint="eastAsia"/>
          <w:lang w:eastAsia="zh-CN"/>
        </w:rPr>
        <w:t>）</w:t>
      </w:r>
      <w:r>
        <w:rPr>
          <w:rFonts w:hint="eastAsia"/>
        </w:rPr>
        <w:t>项目</w:t>
      </w:r>
      <w:bookmarkEnd w:id="11"/>
      <w:bookmarkEnd w:id="12"/>
      <w:r>
        <w:rPr>
          <w:rFonts w:hint="eastAsia"/>
          <w:lang w:val="en-US" w:eastAsia="zh-CN"/>
        </w:rPr>
        <w:t>背景</w:t>
      </w:r>
    </w:p>
    <w:p>
      <w:pPr>
        <w:ind w:firstLine="560"/>
        <w:rPr>
          <w:rFonts w:hint="default"/>
          <w:lang w:val="en-US" w:eastAsia="zh-CN"/>
        </w:rPr>
      </w:pPr>
      <w:r>
        <w:rPr>
          <w:rFonts w:hint="eastAsia"/>
        </w:rPr>
        <w:t>按照党的十九大关于打赢脱贫攻坚战总体部署，根据各地区各部门贯彻落实《中共中央国务院关于打赢脱贫攻坚战的决定》（中发〔2015〕34号）的进展和实践中存在的突出问题，就完善顶层设计、强化政策措施、加强统筹协调</w:t>
      </w:r>
      <w:r>
        <w:rPr>
          <w:rFonts w:hint="eastAsia"/>
          <w:lang w:eastAsia="zh-CN"/>
        </w:rPr>
        <w:t>、</w:t>
      </w:r>
      <w:r>
        <w:rPr>
          <w:rFonts w:hint="eastAsia"/>
        </w:rPr>
        <w:t>推动脱贫攻坚工作更加有效开展，于2018年制定《中共中央国务院关于打赢脱贫攻坚三年行动的指导意见》（中发〔2018〕16号），结合我省实际提出《中共山西省委 山西省人民政府关于坚决打赢全省脱贫攻坚战三年行动的实施意见》（晋发〔2018〕21号），从完善顶层设计、强化政策措施和加强统筹协调等方面，为我省今后三年脱贫攻坚工作制定了“路线图”和“时间表”，是决战决胜今后三年脱贫攻坚战的纲领性文件。</w:t>
      </w:r>
    </w:p>
    <w:p>
      <w:pPr>
        <w:ind w:firstLine="560"/>
      </w:pPr>
      <w:r>
        <w:rPr>
          <w:rFonts w:hint="eastAsia"/>
        </w:rPr>
        <w:t>深入贯彻落实山西省人民政府《关于推进涉农资金统筹整合的实施意见》（晋政发〔2018〕31号）</w:t>
      </w:r>
      <w:r>
        <w:rPr>
          <w:rFonts w:hint="eastAsia"/>
          <w:lang w:eastAsia="zh-CN"/>
        </w:rPr>
        <w:t>、</w:t>
      </w:r>
      <w:r>
        <w:rPr>
          <w:rFonts w:hint="eastAsia"/>
        </w:rPr>
        <w:t>山西省脱贫攻坚领导小组《关于进一步做好贫困县统筹整合使用财政资金实施精准扶贫工作的通知》（晋脱贫攻坚组〔2019〕9号）及忻州市人民政府《关于印发忻州市推进涉农资金统筹整合实施方案的通知》（忻政办发〔2018〕152号）</w:t>
      </w:r>
      <w:r>
        <w:rPr>
          <w:rFonts w:hint="eastAsia"/>
          <w:lang w:val="en-US" w:eastAsia="zh-CN"/>
        </w:rPr>
        <w:t>文件精神</w:t>
      </w:r>
      <w:r>
        <w:rPr>
          <w:rFonts w:hint="eastAsia"/>
        </w:rPr>
        <w:t>,创新体制机制,切实发挥涉农资金统筹整合作用,打赢全县脱贫攻坚战,根据脱贫攻坚需要,对年初方案中的项目资金预算安排进行调整,制定《宁武县2020年统筹整合使用财政资金开展脱贫攻坚调整实施方案》（宁脱贫攻坚部〔2020〕20号），明确指出统筹整合使用财政资金范围为中央资金17项、省级资金56项、市县安排的与中央、省纳入整合目录对应的配套资金,主要包括:财政专项扶贫资金,中央彩票公益金支持革命老区脱贫攻坚资金,农业、林业、水利、教育、国土、住建、交通、环保、卫计等行业部门指导性任务资金。2020年统筹整合用于脱贫攻坚的财政涉农资金预算投入总规模为34</w:t>
      </w:r>
      <w:r>
        <w:rPr>
          <w:rFonts w:hint="eastAsia"/>
          <w:lang w:val="en-US" w:eastAsia="zh-CN"/>
        </w:rPr>
        <w:t>,</w:t>
      </w:r>
      <w:r>
        <w:rPr>
          <w:rFonts w:hint="eastAsia"/>
        </w:rPr>
        <w:t>572.17万元,其中:中央专项扶贫资金11</w:t>
      </w:r>
      <w:r>
        <w:rPr>
          <w:rFonts w:hint="eastAsia"/>
          <w:lang w:val="en-US" w:eastAsia="zh-CN"/>
        </w:rPr>
        <w:t>,</w:t>
      </w:r>
      <w:r>
        <w:rPr>
          <w:rFonts w:hint="eastAsia"/>
        </w:rPr>
        <w:t>179.8万元,中央彩票公益金支持革命老区脱贫攻坚资金1</w:t>
      </w:r>
      <w:r>
        <w:rPr>
          <w:rFonts w:hint="eastAsia"/>
          <w:lang w:val="en-US" w:eastAsia="zh-CN"/>
        </w:rPr>
        <w:t>,</w:t>
      </w:r>
      <w:r>
        <w:rPr>
          <w:rFonts w:hint="eastAsia"/>
        </w:rPr>
        <w:t>000万元,省级专项扶贫资金573.6万元,市级专项扶贫资金1</w:t>
      </w:r>
      <w:r>
        <w:rPr>
          <w:rFonts w:hint="eastAsia"/>
          <w:lang w:val="en-US" w:eastAsia="zh-CN"/>
        </w:rPr>
        <w:t>,</w:t>
      </w:r>
      <w:r>
        <w:rPr>
          <w:rFonts w:hint="eastAsia"/>
        </w:rPr>
        <w:t>031.4万元,县级专项扶贫资金5</w:t>
      </w:r>
      <w:r>
        <w:rPr>
          <w:rFonts w:hint="eastAsia"/>
          <w:lang w:val="en-US" w:eastAsia="zh-CN"/>
        </w:rPr>
        <w:t>,</w:t>
      </w:r>
      <w:r>
        <w:rPr>
          <w:rFonts w:hint="eastAsia"/>
        </w:rPr>
        <w:t>500万元,部门整合资金15</w:t>
      </w:r>
      <w:r>
        <w:rPr>
          <w:rFonts w:hint="eastAsia"/>
          <w:lang w:val="en-US" w:eastAsia="zh-CN"/>
        </w:rPr>
        <w:t>,</w:t>
      </w:r>
      <w:r>
        <w:rPr>
          <w:rFonts w:hint="eastAsia"/>
        </w:rPr>
        <w:t>287.37万元。</w:t>
      </w:r>
    </w:p>
    <w:p>
      <w:pPr>
        <w:rPr>
          <w:rFonts w:hint="eastAsia"/>
          <w:lang w:val="en-US" w:eastAsia="zh-CN"/>
        </w:rPr>
      </w:pPr>
      <w:r>
        <w:rPr>
          <w:rFonts w:hint="eastAsia"/>
          <w:lang w:eastAsia="zh-CN"/>
        </w:rPr>
        <w:t>宁武县东寨镇人民政府2020年统筹整合财政资金</w:t>
      </w:r>
      <w:r>
        <w:rPr>
          <w:rFonts w:hint="eastAsia"/>
          <w:lang w:val="en-US" w:eastAsia="zh-CN"/>
        </w:rPr>
        <w:t>219.37</w:t>
      </w:r>
      <w:r>
        <w:rPr>
          <w:rFonts w:hint="eastAsia"/>
        </w:rPr>
        <w:t>万元，统筹整合资金</w:t>
      </w:r>
      <w:r>
        <w:rPr>
          <w:rFonts w:hint="eastAsia"/>
          <w:lang w:val="en-US" w:eastAsia="zh-CN"/>
        </w:rPr>
        <w:t>用于宁武县东寨镇食用菌种植项目69.37万元，用于宁武县东寨镇二马营村食用菌大棚建设项目150万元。</w:t>
      </w:r>
    </w:p>
    <w:p>
      <w:pPr>
        <w:pStyle w:val="5"/>
        <w:ind w:firstLine="560"/>
        <w:rPr>
          <w:rFonts w:hint="eastAsia"/>
          <w:lang w:val="en-US" w:eastAsia="zh-CN"/>
        </w:rPr>
      </w:pPr>
      <w:r>
        <w:rPr>
          <w:rFonts w:hint="eastAsia"/>
          <w:lang w:val="en-US" w:eastAsia="zh-CN"/>
        </w:rPr>
        <w:t>（二）主要内容及实施情况</w:t>
      </w:r>
    </w:p>
    <w:p>
      <w:pPr>
        <w:bidi w:val="0"/>
        <w:rPr>
          <w:rFonts w:hint="eastAsia"/>
          <w:lang w:val="en-US" w:eastAsia="zh-CN"/>
        </w:rPr>
      </w:pPr>
      <w:r>
        <w:rPr>
          <w:rFonts w:hint="eastAsia"/>
        </w:rPr>
        <w:t>宁武县</w:t>
      </w:r>
      <w:r>
        <w:rPr>
          <w:rFonts w:hint="eastAsia"/>
          <w:lang w:val="en-US" w:eastAsia="zh-CN"/>
        </w:rPr>
        <w:t>东寨镇人民政府</w:t>
      </w:r>
      <w:r>
        <w:rPr>
          <w:rFonts w:hint="eastAsia"/>
        </w:rPr>
        <w:t>2020年统筹整合财政资金</w:t>
      </w:r>
      <w:r>
        <w:rPr>
          <w:rFonts w:hint="eastAsia"/>
          <w:lang w:val="en-US" w:eastAsia="zh-CN"/>
        </w:rPr>
        <w:t>项目主要用于宁武县东寨镇食用菌种植项目与宁武县东寨镇二马营村食用菌大棚建设项目，截至评价基准日（2020年12月31日），项目已全部完成，各项目具体实施情况见表1-1。</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3"/>
        <w:rPr>
          <w:rFonts w:hint="eastAsia" w:ascii="宋体" w:hAnsi="宋体" w:eastAsia="宋体" w:cstheme="majorBidi"/>
          <w:bCs/>
          <w:szCs w:val="28"/>
          <w:lang w:val="en-US" w:eastAsia="zh-CN"/>
        </w:rPr>
      </w:pPr>
      <w:r>
        <w:rPr>
          <w:rFonts w:hint="eastAsia" w:ascii="宋体" w:hAnsi="宋体" w:eastAsia="宋体" w:cstheme="majorBidi"/>
          <w:bCs/>
          <w:szCs w:val="28"/>
          <w:lang w:val="en-US" w:eastAsia="zh-CN"/>
        </w:rPr>
        <w:t>表1-1 项目实施情况</w:t>
      </w:r>
    </w:p>
    <w:tbl>
      <w:tblPr>
        <w:tblStyle w:val="14"/>
        <w:tblW w:w="4996" w:type="pct"/>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911"/>
        <w:gridCol w:w="3389"/>
        <w:gridCol w:w="1592"/>
        <w:gridCol w:w="3275"/>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497" w:type="pct"/>
            <w:tcBorders>
              <w:tl2br w:val="nil"/>
              <w:tr2bl w:val="nil"/>
            </w:tcBorders>
            <w:shd w:val="clear" w:color="auto" w:fill="BEBEBE" w:themeFill="background1" w:themeFillShade="BF"/>
            <w:vAlign w:val="center"/>
          </w:tcPr>
          <w:p>
            <w:pPr>
              <w:spacing w:line="240" w:lineRule="auto"/>
              <w:ind w:firstLine="0" w:firstLineChars="0"/>
              <w:jc w:val="center"/>
              <w:rPr>
                <w:rFonts w:ascii="宋体" w:hAnsi="宋体" w:eastAsia="宋体" w:cs="Times New Roman"/>
                <w:b/>
                <w:bCs/>
                <w:sz w:val="24"/>
              </w:rPr>
            </w:pPr>
            <w:r>
              <w:rPr>
                <w:rFonts w:hint="eastAsia" w:ascii="宋体" w:hAnsi="宋体" w:eastAsia="宋体" w:cs="Times New Roman"/>
                <w:b/>
                <w:bCs/>
                <w:sz w:val="24"/>
              </w:rPr>
              <w:t>序号</w:t>
            </w:r>
          </w:p>
        </w:tc>
        <w:tc>
          <w:tcPr>
            <w:tcW w:w="1847" w:type="pct"/>
            <w:tcBorders>
              <w:tl2br w:val="nil"/>
              <w:tr2bl w:val="nil"/>
            </w:tcBorders>
            <w:shd w:val="clear" w:color="auto" w:fill="BEBEBE" w:themeFill="background1" w:themeFillShade="BF"/>
            <w:vAlign w:val="center"/>
          </w:tcPr>
          <w:p>
            <w:pPr>
              <w:spacing w:line="240" w:lineRule="auto"/>
              <w:ind w:firstLine="0" w:firstLineChars="0"/>
              <w:jc w:val="center"/>
              <w:rPr>
                <w:rFonts w:ascii="宋体" w:hAnsi="宋体" w:eastAsia="宋体" w:cs="Times New Roman"/>
                <w:b/>
                <w:bCs/>
                <w:sz w:val="24"/>
              </w:rPr>
            </w:pPr>
            <w:r>
              <w:rPr>
                <w:rFonts w:hint="eastAsia" w:ascii="宋体" w:hAnsi="宋体" w:eastAsia="宋体" w:cs="Times New Roman"/>
                <w:b/>
                <w:bCs/>
                <w:sz w:val="24"/>
              </w:rPr>
              <w:t>项目名称</w:t>
            </w:r>
          </w:p>
        </w:tc>
        <w:tc>
          <w:tcPr>
            <w:tcW w:w="868" w:type="pct"/>
            <w:tcBorders>
              <w:tl2br w:val="nil"/>
              <w:tr2bl w:val="nil"/>
            </w:tcBorders>
            <w:shd w:val="clear" w:color="auto" w:fill="BEBEBE" w:themeFill="background1" w:themeFillShade="BF"/>
            <w:vAlign w:val="center"/>
          </w:tcPr>
          <w:p>
            <w:pPr>
              <w:spacing w:line="240" w:lineRule="auto"/>
              <w:ind w:firstLine="0" w:firstLineChars="0"/>
              <w:jc w:val="center"/>
              <w:rPr>
                <w:rFonts w:hint="eastAsia" w:ascii="宋体" w:hAnsi="宋体" w:eastAsia="宋体" w:cs="仿宋_GB2312"/>
                <w:b/>
                <w:bCs/>
                <w:sz w:val="24"/>
                <w:lang w:eastAsia="zh-CN"/>
              </w:rPr>
            </w:pPr>
            <w:r>
              <w:rPr>
                <w:rFonts w:hint="eastAsia" w:ascii="宋体" w:hAnsi="宋体" w:eastAsia="宋体" w:cs="Times New Roman"/>
                <w:b/>
                <w:bCs/>
                <w:sz w:val="24"/>
                <w:lang w:val="en-US" w:eastAsia="zh-CN" w:bidi="ar"/>
              </w:rPr>
              <w:t>实施地点</w:t>
            </w:r>
          </w:p>
        </w:tc>
        <w:tc>
          <w:tcPr>
            <w:tcW w:w="1785" w:type="pct"/>
            <w:tcBorders>
              <w:tl2br w:val="nil"/>
              <w:tr2bl w:val="nil"/>
            </w:tcBorders>
            <w:shd w:val="clear" w:color="auto" w:fill="BEBEBE" w:themeFill="background1" w:themeFillShade="BF"/>
            <w:vAlign w:val="center"/>
          </w:tcPr>
          <w:p>
            <w:pPr>
              <w:spacing w:line="240" w:lineRule="auto"/>
              <w:ind w:firstLine="0" w:firstLineChars="0"/>
              <w:jc w:val="center"/>
              <w:rPr>
                <w:rFonts w:hint="default" w:ascii="宋体" w:hAnsi="宋体" w:eastAsia="宋体" w:cs="仿宋_GB2312"/>
                <w:b/>
                <w:bCs/>
                <w:sz w:val="24"/>
                <w:lang w:val="en-US" w:eastAsia="zh-CN"/>
              </w:rPr>
            </w:pPr>
            <w:r>
              <w:rPr>
                <w:rFonts w:hint="eastAsia" w:ascii="宋体" w:hAnsi="宋体" w:eastAsia="宋体" w:cs="仿宋_GB2312"/>
                <w:b/>
                <w:bCs/>
                <w:sz w:val="24"/>
                <w:lang w:val="en-US" w:eastAsia="zh-CN"/>
              </w:rPr>
              <w:t>建设内容与规模</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497" w:type="pct"/>
            <w:tcBorders>
              <w:tl2br w:val="nil"/>
              <w:tr2bl w:val="nil"/>
            </w:tcBorders>
            <w:vAlign w:val="center"/>
          </w:tcPr>
          <w:p>
            <w:pPr>
              <w:spacing w:line="240" w:lineRule="auto"/>
              <w:ind w:firstLine="0" w:firstLineChars="0"/>
              <w:jc w:val="center"/>
              <w:rPr>
                <w:rFonts w:ascii="宋体" w:hAnsi="宋体" w:eastAsia="宋体" w:cs="Times New Roman"/>
                <w:sz w:val="24"/>
                <w:lang w:bidi="ar"/>
              </w:rPr>
            </w:pPr>
            <w:r>
              <w:rPr>
                <w:rFonts w:hint="eastAsia" w:ascii="宋体" w:hAnsi="宋体" w:eastAsia="宋体" w:cs="Times New Roman"/>
                <w:sz w:val="24"/>
                <w:lang w:bidi="ar"/>
              </w:rPr>
              <w:t>1</w:t>
            </w:r>
          </w:p>
        </w:tc>
        <w:tc>
          <w:tcPr>
            <w:tcW w:w="1847" w:type="pct"/>
            <w:tcBorders>
              <w:tl2br w:val="nil"/>
              <w:tr2bl w:val="nil"/>
            </w:tcBorders>
            <w:vAlign w:val="center"/>
          </w:tcPr>
          <w:p>
            <w:pPr>
              <w:widowControl/>
              <w:spacing w:line="240" w:lineRule="auto"/>
              <w:ind w:firstLine="0" w:firstLineChars="0"/>
              <w:jc w:val="center"/>
              <w:textAlignment w:val="center"/>
              <w:rPr>
                <w:rFonts w:ascii="宋体" w:hAnsi="宋体" w:eastAsia="宋体" w:cs="Times New Roman"/>
                <w:sz w:val="24"/>
                <w:lang w:bidi="ar"/>
              </w:rPr>
            </w:pPr>
            <w:r>
              <w:rPr>
                <w:rFonts w:hint="eastAsia" w:ascii="宋体" w:hAnsi="宋体" w:eastAsia="宋体" w:cs="Times New Roman"/>
                <w:sz w:val="24"/>
                <w:lang w:val="en-US" w:eastAsia="zh-CN"/>
              </w:rPr>
              <w:t>宁武县东寨镇食用菌种植项目</w:t>
            </w:r>
          </w:p>
        </w:tc>
        <w:tc>
          <w:tcPr>
            <w:tcW w:w="868"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Times New Roman"/>
                <w:sz w:val="24"/>
                <w:lang w:val="en-US" w:eastAsia="zh-CN"/>
              </w:rPr>
            </w:pPr>
            <w:r>
              <w:rPr>
                <w:rFonts w:hint="eastAsia" w:ascii="宋体" w:hAnsi="宋体" w:eastAsia="宋体" w:cs="宋体"/>
                <w:color w:val="000000"/>
                <w:sz w:val="24"/>
                <w:szCs w:val="24"/>
                <w:lang w:val="en-US" w:eastAsia="zh-CN"/>
              </w:rPr>
              <w:t>二马营村</w:t>
            </w:r>
          </w:p>
        </w:tc>
        <w:tc>
          <w:tcPr>
            <w:tcW w:w="178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Times New Roman"/>
                <w:sz w:val="24"/>
                <w:lang w:val="en-US" w:eastAsia="zh-CN"/>
              </w:rPr>
            </w:pPr>
            <w:r>
              <w:rPr>
                <w:rFonts w:hint="default" w:ascii="宋体" w:hAnsi="宋体" w:eastAsia="宋体" w:cs="宋体"/>
                <w:color w:val="000000"/>
                <w:sz w:val="24"/>
                <w:szCs w:val="24"/>
                <w:lang w:val="en-US" w:eastAsia="zh-CN"/>
              </w:rPr>
              <w:t>新建大棚20座，场地“三通一平”，排水渠、冷库、小型工作用房、菌棒架</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497" w:type="pct"/>
            <w:tcBorders>
              <w:tl2br w:val="nil"/>
              <w:tr2bl w:val="nil"/>
            </w:tcBorders>
            <w:vAlign w:val="center"/>
          </w:tcPr>
          <w:p>
            <w:pPr>
              <w:spacing w:line="240" w:lineRule="auto"/>
              <w:ind w:firstLine="0" w:firstLineChars="0"/>
              <w:jc w:val="center"/>
              <w:rPr>
                <w:rFonts w:ascii="宋体" w:hAnsi="宋体" w:eastAsia="宋体" w:cs="Times New Roman"/>
                <w:sz w:val="24"/>
                <w:lang w:bidi="ar"/>
              </w:rPr>
            </w:pPr>
            <w:r>
              <w:rPr>
                <w:rFonts w:hint="eastAsia" w:ascii="宋体" w:hAnsi="宋体" w:eastAsia="宋体" w:cs="Times New Roman"/>
                <w:sz w:val="24"/>
                <w:lang w:bidi="ar"/>
              </w:rPr>
              <w:t>2</w:t>
            </w:r>
          </w:p>
        </w:tc>
        <w:tc>
          <w:tcPr>
            <w:tcW w:w="1847" w:type="pct"/>
            <w:tcBorders>
              <w:tl2br w:val="nil"/>
              <w:tr2bl w:val="nil"/>
            </w:tcBorders>
            <w:vAlign w:val="center"/>
          </w:tcPr>
          <w:p>
            <w:pPr>
              <w:widowControl/>
              <w:spacing w:line="240" w:lineRule="auto"/>
              <w:ind w:firstLine="0" w:firstLineChars="0"/>
              <w:jc w:val="center"/>
              <w:textAlignment w:val="center"/>
              <w:rPr>
                <w:rFonts w:hint="default" w:ascii="宋体" w:hAnsi="宋体" w:eastAsia="宋体" w:cs="Times New Roman"/>
                <w:sz w:val="24"/>
                <w:lang w:val="en-US" w:bidi="ar"/>
              </w:rPr>
            </w:pPr>
            <w:r>
              <w:rPr>
                <w:rFonts w:hint="eastAsia" w:ascii="宋体" w:hAnsi="宋体" w:eastAsia="宋体" w:cs="Times New Roman"/>
                <w:sz w:val="24"/>
                <w:lang w:val="en-US" w:eastAsia="zh-CN"/>
              </w:rPr>
              <w:t>宁武县东寨镇二马营村食用菌大棚建设项目</w:t>
            </w:r>
          </w:p>
        </w:tc>
        <w:tc>
          <w:tcPr>
            <w:tcW w:w="868"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Times New Roman"/>
                <w:sz w:val="24"/>
                <w:lang w:val="en-US" w:eastAsia="zh-CN"/>
              </w:rPr>
            </w:pPr>
            <w:r>
              <w:rPr>
                <w:rFonts w:hint="eastAsia" w:ascii="宋体" w:hAnsi="宋体" w:eastAsia="宋体" w:cs="宋体"/>
                <w:color w:val="000000"/>
                <w:sz w:val="24"/>
                <w:szCs w:val="24"/>
                <w:lang w:val="en-US" w:eastAsia="zh-CN"/>
              </w:rPr>
              <w:t>二马营村</w:t>
            </w:r>
          </w:p>
        </w:tc>
        <w:tc>
          <w:tcPr>
            <w:tcW w:w="1785"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Times New Roman"/>
                <w:sz w:val="24"/>
                <w:lang w:val="en-US" w:eastAsia="zh-CN"/>
              </w:rPr>
            </w:pPr>
            <w:r>
              <w:rPr>
                <w:rFonts w:hint="default" w:ascii="宋体" w:hAnsi="宋体" w:eastAsia="宋体" w:cs="宋体"/>
                <w:color w:val="000000"/>
                <w:sz w:val="24"/>
                <w:szCs w:val="24"/>
                <w:lang w:val="en-US" w:eastAsia="zh-CN"/>
              </w:rPr>
              <w:t>10座</w:t>
            </w:r>
            <w:r>
              <w:rPr>
                <w:rFonts w:hint="eastAsia" w:ascii="宋体" w:hAnsi="宋体" w:eastAsia="宋体" w:cs="宋体"/>
                <w:color w:val="000000"/>
                <w:sz w:val="24"/>
                <w:szCs w:val="24"/>
                <w:lang w:val="en-US" w:eastAsia="zh-CN"/>
              </w:rPr>
              <w:t>保温</w:t>
            </w:r>
            <w:r>
              <w:rPr>
                <w:rFonts w:hint="default" w:ascii="宋体" w:hAnsi="宋体" w:eastAsia="宋体" w:cs="宋体"/>
                <w:color w:val="000000"/>
                <w:sz w:val="24"/>
                <w:szCs w:val="24"/>
                <w:lang w:val="en-US" w:eastAsia="zh-CN"/>
              </w:rPr>
              <w:t>大棚3960㎡，1座1层的管理用房264㎡，室外配套给排水、道路及场地硬化2105㎡，砂石路面1287㎡，新建入厂道路长710米，宽4m，硬化面积2840㎡</w:t>
            </w:r>
          </w:p>
        </w:tc>
      </w:tr>
    </w:tbl>
    <w:p>
      <w:pPr>
        <w:pStyle w:val="5"/>
        <w:keepNext/>
        <w:keepLines/>
        <w:pageBreakBefore w:val="0"/>
        <w:widowControl w:val="0"/>
        <w:kinsoku/>
        <w:wordWrap/>
        <w:overflowPunct/>
        <w:topLinePunct w:val="0"/>
        <w:autoSpaceDE/>
        <w:autoSpaceDN/>
        <w:bidi w:val="0"/>
        <w:adjustRightInd/>
        <w:snapToGrid/>
        <w:spacing w:before="157" w:beforeLines="50"/>
        <w:textAlignment w:val="auto"/>
        <w:rPr>
          <w:rFonts w:hint="default"/>
          <w:lang w:val="en-US" w:eastAsia="zh-CN"/>
        </w:rPr>
      </w:pPr>
      <w:bookmarkStart w:id="13" w:name="_Toc2510"/>
      <w:r>
        <w:rPr>
          <w:rFonts w:hint="eastAsia"/>
          <w:lang w:val="en-US" w:eastAsia="zh-CN"/>
        </w:rPr>
        <w:t>（三）资金投入和使用情况</w:t>
      </w:r>
      <w:bookmarkEnd w:id="13"/>
    </w:p>
    <w:p>
      <w:pPr>
        <w:pStyle w:val="6"/>
        <w:bidi w:val="0"/>
        <w:rPr>
          <w:rFonts w:hint="default"/>
          <w:lang w:val="en-US"/>
        </w:rPr>
      </w:pPr>
      <w:r>
        <w:rPr>
          <w:rFonts w:hint="eastAsia"/>
          <w:lang w:val="en-US" w:eastAsia="zh-CN"/>
        </w:rPr>
        <w:t>1.资金投入情况</w:t>
      </w:r>
    </w:p>
    <w:p>
      <w:pPr>
        <w:bidi w:val="0"/>
        <w:rPr>
          <w:rFonts w:hint="eastAsia"/>
          <w:lang w:val="en-US" w:eastAsia="zh-CN"/>
        </w:rPr>
      </w:pPr>
      <w:r>
        <w:rPr>
          <w:rFonts w:hint="eastAsia"/>
        </w:rPr>
        <w:t>宁武县</w:t>
      </w:r>
      <w:r>
        <w:rPr>
          <w:rFonts w:hint="eastAsia"/>
          <w:lang w:val="en-US" w:eastAsia="zh-CN"/>
        </w:rPr>
        <w:t>东寨镇</w:t>
      </w:r>
      <w:r>
        <w:rPr>
          <w:rFonts w:hint="eastAsia"/>
        </w:rPr>
        <w:t>2020年统筹整合财政资</w:t>
      </w:r>
      <w:r>
        <w:rPr>
          <w:rFonts w:hint="eastAsia"/>
          <w:lang w:val="en-US" w:eastAsia="zh-CN"/>
        </w:rPr>
        <w:t>219.37</w:t>
      </w:r>
      <w:r>
        <w:rPr>
          <w:rFonts w:hint="eastAsia"/>
        </w:rPr>
        <w:t>万元，统筹整合资金</w:t>
      </w:r>
      <w:r>
        <w:rPr>
          <w:rFonts w:hint="eastAsia"/>
          <w:lang w:val="en-US" w:eastAsia="zh-CN"/>
        </w:rPr>
        <w:t>用于宁武县东寨镇食用菌种植项目69.37万元，用于宁武县东寨镇二马营村食用菌大棚建设项目150万元。</w:t>
      </w:r>
      <w:r>
        <w:rPr>
          <w:rFonts w:hint="eastAsia"/>
        </w:rPr>
        <w:t>具体项目预算资金详见表1-</w:t>
      </w:r>
      <w:r>
        <w:rPr>
          <w:rFonts w:hint="eastAsia"/>
          <w:lang w:val="en-US" w:eastAsia="zh-CN"/>
        </w:rPr>
        <w:t>2</w:t>
      </w:r>
      <w:r>
        <w:rPr>
          <w:rFonts w:hint="eastAsia"/>
        </w:rPr>
        <w:t>。</w:t>
      </w:r>
    </w:p>
    <w:p>
      <w:pPr>
        <w:pStyle w:val="6"/>
        <w:bidi w:val="0"/>
        <w:rPr>
          <w:rFonts w:hint="default"/>
          <w:lang w:val="en-US" w:eastAsia="zh-CN"/>
        </w:rPr>
      </w:pPr>
      <w:r>
        <w:rPr>
          <w:rFonts w:hint="eastAsia"/>
          <w:lang w:val="en-US" w:eastAsia="zh-CN"/>
        </w:rPr>
        <w:t>2.资金使用情况</w:t>
      </w:r>
    </w:p>
    <w:p>
      <w:pPr>
        <w:bidi w:val="0"/>
        <w:rPr>
          <w:rFonts w:hint="eastAsia"/>
        </w:rPr>
      </w:pPr>
      <w:r>
        <w:rPr>
          <w:rFonts w:hint="eastAsia"/>
          <w:lang w:val="en-US" w:eastAsia="zh-CN"/>
        </w:rPr>
        <w:t>宁武县东寨镇人民政府2020年统筹整合财政资金219.37万元，截止评价基准日（2020年12月31日）全部支出。</w:t>
      </w:r>
      <w:r>
        <w:rPr>
          <w:rFonts w:hint="eastAsia"/>
        </w:rPr>
        <w:t>具体项目资金使用情况详见表1-</w:t>
      </w:r>
      <w:r>
        <w:rPr>
          <w:rFonts w:hint="eastAsia"/>
          <w:lang w:val="en-US" w:eastAsia="zh-CN"/>
        </w:rPr>
        <w:t>2</w:t>
      </w:r>
      <w:r>
        <w:rPr>
          <w:rFonts w:hint="eastAsia"/>
        </w:rPr>
        <w:t>。</w:t>
      </w:r>
    </w:p>
    <w:p>
      <w:pPr>
        <w:pStyle w:val="2"/>
        <w:rPr>
          <w:rFonts w:hint="eastAsia"/>
        </w:rPr>
      </w:pPr>
    </w:p>
    <w:p>
      <w:pPr>
        <w:pStyle w:val="3"/>
        <w:rPr>
          <w:rFonts w:hint="eastAsia"/>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3"/>
        <w:rPr>
          <w:rFonts w:ascii="宋体" w:hAnsi="宋体" w:eastAsia="宋体" w:cstheme="majorBidi"/>
          <w:bCs/>
          <w:szCs w:val="28"/>
        </w:rPr>
      </w:pPr>
      <w:r>
        <w:rPr>
          <w:rFonts w:hint="eastAsia" w:ascii="宋体" w:hAnsi="宋体" w:eastAsia="宋体" w:cstheme="majorBidi"/>
          <w:bCs/>
          <w:szCs w:val="28"/>
        </w:rPr>
        <w:t>表1-</w:t>
      </w:r>
      <w:r>
        <w:rPr>
          <w:rFonts w:hint="eastAsia" w:ascii="宋体" w:hAnsi="宋体" w:eastAsia="宋体" w:cstheme="majorBidi"/>
          <w:bCs/>
          <w:szCs w:val="28"/>
          <w:lang w:val="en-US" w:eastAsia="zh-CN"/>
        </w:rPr>
        <w:t xml:space="preserve">2 </w:t>
      </w:r>
      <w:r>
        <w:rPr>
          <w:rFonts w:hint="eastAsia" w:ascii="宋体" w:hAnsi="宋体" w:eastAsia="宋体" w:cstheme="majorBidi"/>
          <w:bCs/>
          <w:szCs w:val="28"/>
        </w:rPr>
        <w:t>宁武县</w:t>
      </w:r>
      <w:r>
        <w:rPr>
          <w:rFonts w:hint="eastAsia" w:ascii="宋体" w:hAnsi="宋体" w:eastAsia="宋体" w:cstheme="majorBidi"/>
          <w:bCs/>
          <w:szCs w:val="28"/>
          <w:lang w:val="en-US" w:eastAsia="zh-CN"/>
        </w:rPr>
        <w:t>东寨镇</w:t>
      </w:r>
      <w:r>
        <w:rPr>
          <w:rFonts w:hint="eastAsia" w:ascii="宋体" w:hAnsi="宋体" w:eastAsia="宋体" w:cstheme="majorBidi"/>
          <w:bCs/>
          <w:szCs w:val="28"/>
        </w:rPr>
        <w:t>2020年统筹整合资金使用统计表</w:t>
      </w:r>
    </w:p>
    <w:p>
      <w:pPr>
        <w:ind w:firstLine="0" w:firstLineChars="0"/>
        <w:jc w:val="right"/>
        <w:outlineLvl w:val="3"/>
        <w:rPr>
          <w:rFonts w:ascii="宋体" w:hAnsi="宋体" w:eastAsia="宋体" w:cstheme="majorBidi"/>
          <w:bCs/>
          <w:szCs w:val="28"/>
        </w:rPr>
      </w:pPr>
      <w:r>
        <w:rPr>
          <w:rFonts w:hint="eastAsia" w:ascii="宋体" w:hAnsi="宋体" w:eastAsia="宋体" w:cstheme="majorBidi"/>
          <w:bCs/>
          <w:szCs w:val="28"/>
        </w:rPr>
        <w:t>资金单位：万元</w:t>
      </w:r>
    </w:p>
    <w:tbl>
      <w:tblPr>
        <w:tblStyle w:val="14"/>
        <w:tblW w:w="0" w:type="auto"/>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698"/>
        <w:gridCol w:w="3011"/>
        <w:gridCol w:w="1382"/>
        <w:gridCol w:w="1878"/>
        <w:gridCol w:w="1176"/>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0" w:type="auto"/>
            <w:tcBorders>
              <w:tl2br w:val="nil"/>
              <w:tr2bl w:val="nil"/>
            </w:tcBorders>
            <w:shd w:val="clear" w:color="auto" w:fill="BEBEBE" w:themeFill="background1" w:themeFillShade="BF"/>
            <w:vAlign w:val="center"/>
          </w:tcPr>
          <w:p>
            <w:pPr>
              <w:spacing w:line="240" w:lineRule="auto"/>
              <w:ind w:firstLine="0" w:firstLineChars="0"/>
              <w:jc w:val="center"/>
              <w:rPr>
                <w:rFonts w:ascii="宋体" w:hAnsi="宋体" w:eastAsia="宋体" w:cs="Times New Roman"/>
                <w:b/>
                <w:bCs/>
                <w:sz w:val="24"/>
              </w:rPr>
            </w:pPr>
            <w:r>
              <w:rPr>
                <w:rFonts w:hint="eastAsia" w:ascii="宋体" w:hAnsi="宋体" w:eastAsia="宋体" w:cs="Times New Roman"/>
                <w:b/>
                <w:bCs/>
                <w:sz w:val="24"/>
              </w:rPr>
              <w:t>序号</w:t>
            </w:r>
          </w:p>
        </w:tc>
        <w:tc>
          <w:tcPr>
            <w:tcW w:w="3011" w:type="dxa"/>
            <w:tcBorders>
              <w:tl2br w:val="nil"/>
              <w:tr2bl w:val="nil"/>
            </w:tcBorders>
            <w:shd w:val="clear" w:color="auto" w:fill="BEBEBE" w:themeFill="background1" w:themeFillShade="BF"/>
            <w:vAlign w:val="center"/>
          </w:tcPr>
          <w:p>
            <w:pPr>
              <w:spacing w:line="240" w:lineRule="auto"/>
              <w:ind w:firstLine="0" w:firstLineChars="0"/>
              <w:jc w:val="center"/>
              <w:rPr>
                <w:rFonts w:ascii="宋体" w:hAnsi="宋体" w:eastAsia="宋体" w:cs="Times New Roman"/>
                <w:b/>
                <w:bCs/>
                <w:sz w:val="24"/>
              </w:rPr>
            </w:pPr>
            <w:r>
              <w:rPr>
                <w:rFonts w:hint="eastAsia" w:ascii="宋体" w:hAnsi="宋体" w:eastAsia="宋体" w:cs="Times New Roman"/>
                <w:b/>
                <w:bCs/>
                <w:sz w:val="24"/>
              </w:rPr>
              <w:t>项目名称</w:t>
            </w:r>
          </w:p>
        </w:tc>
        <w:tc>
          <w:tcPr>
            <w:tcW w:w="1382" w:type="dxa"/>
            <w:tcBorders>
              <w:tl2br w:val="nil"/>
              <w:tr2bl w:val="nil"/>
            </w:tcBorders>
            <w:shd w:val="clear" w:color="auto" w:fill="BEBEBE" w:themeFill="background1" w:themeFillShade="BF"/>
            <w:vAlign w:val="center"/>
          </w:tcPr>
          <w:p>
            <w:pPr>
              <w:spacing w:line="240" w:lineRule="auto"/>
              <w:ind w:firstLine="0" w:firstLineChars="0"/>
              <w:jc w:val="center"/>
              <w:rPr>
                <w:rFonts w:ascii="宋体" w:hAnsi="宋体" w:eastAsia="宋体" w:cs="仿宋_GB2312"/>
                <w:b/>
                <w:bCs/>
                <w:sz w:val="24"/>
              </w:rPr>
            </w:pPr>
            <w:r>
              <w:rPr>
                <w:rFonts w:hint="eastAsia" w:ascii="宋体" w:hAnsi="宋体" w:eastAsia="宋体" w:cs="Times New Roman"/>
                <w:b/>
                <w:bCs/>
                <w:sz w:val="24"/>
                <w:lang w:bidi="ar"/>
              </w:rPr>
              <w:t>预算资金</w:t>
            </w:r>
          </w:p>
        </w:tc>
        <w:tc>
          <w:tcPr>
            <w:tcW w:w="1878" w:type="dxa"/>
            <w:tcBorders>
              <w:tl2br w:val="nil"/>
              <w:tr2bl w:val="nil"/>
            </w:tcBorders>
            <w:shd w:val="clear" w:color="auto" w:fill="BEBEBE" w:themeFill="background1" w:themeFillShade="BF"/>
            <w:vAlign w:val="center"/>
          </w:tcPr>
          <w:p>
            <w:pPr>
              <w:spacing w:line="240" w:lineRule="auto"/>
              <w:ind w:firstLine="0" w:firstLineChars="0"/>
              <w:jc w:val="center"/>
              <w:rPr>
                <w:rFonts w:ascii="宋体" w:hAnsi="宋体" w:eastAsia="宋体" w:cs="仿宋_GB2312"/>
                <w:b/>
                <w:bCs/>
                <w:sz w:val="24"/>
              </w:rPr>
            </w:pPr>
            <w:r>
              <w:rPr>
                <w:rFonts w:hint="eastAsia" w:ascii="宋体" w:hAnsi="宋体" w:eastAsia="宋体" w:cs="Times New Roman"/>
                <w:b/>
                <w:bCs/>
                <w:sz w:val="24"/>
                <w:lang w:bidi="ar"/>
              </w:rPr>
              <w:t>支出数</w:t>
            </w:r>
          </w:p>
        </w:tc>
        <w:tc>
          <w:tcPr>
            <w:tcW w:w="1176" w:type="dxa"/>
            <w:tcBorders>
              <w:tl2br w:val="nil"/>
              <w:tr2bl w:val="nil"/>
            </w:tcBorders>
            <w:shd w:val="clear" w:color="auto" w:fill="BEBEBE" w:themeFill="background1" w:themeFillShade="BF"/>
            <w:vAlign w:val="center"/>
          </w:tcPr>
          <w:p>
            <w:pPr>
              <w:spacing w:line="240" w:lineRule="auto"/>
              <w:ind w:firstLine="0" w:firstLineChars="0"/>
              <w:jc w:val="center"/>
              <w:rPr>
                <w:rFonts w:ascii="宋体" w:hAnsi="宋体" w:eastAsia="宋体" w:cs="Times New Roman"/>
                <w:b/>
                <w:bCs/>
                <w:sz w:val="24"/>
                <w:lang w:bidi="ar"/>
              </w:rPr>
            </w:pPr>
            <w:r>
              <w:rPr>
                <w:rFonts w:hint="eastAsia" w:ascii="宋体" w:hAnsi="宋体" w:eastAsia="宋体" w:cs="Times New Roman"/>
                <w:b/>
                <w:bCs/>
                <w:sz w:val="24"/>
                <w:lang w:bidi="ar"/>
              </w:rPr>
              <w:t>结余数</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0" w:type="auto"/>
            <w:tcBorders>
              <w:tl2br w:val="nil"/>
              <w:tr2bl w:val="nil"/>
            </w:tcBorders>
            <w:vAlign w:val="center"/>
          </w:tcPr>
          <w:p>
            <w:pPr>
              <w:spacing w:line="240" w:lineRule="auto"/>
              <w:ind w:firstLine="0" w:firstLineChars="0"/>
              <w:jc w:val="center"/>
              <w:rPr>
                <w:rFonts w:ascii="宋体" w:hAnsi="宋体" w:eastAsia="宋体" w:cs="Times New Roman"/>
                <w:sz w:val="24"/>
                <w:lang w:bidi="ar"/>
              </w:rPr>
            </w:pPr>
            <w:r>
              <w:rPr>
                <w:rFonts w:hint="eastAsia" w:ascii="宋体" w:hAnsi="宋体" w:eastAsia="宋体" w:cs="Times New Roman"/>
                <w:sz w:val="24"/>
                <w:lang w:bidi="ar"/>
              </w:rPr>
              <w:t>1</w:t>
            </w:r>
          </w:p>
        </w:tc>
        <w:tc>
          <w:tcPr>
            <w:tcW w:w="3011" w:type="dxa"/>
            <w:tcBorders>
              <w:tl2br w:val="nil"/>
              <w:tr2bl w:val="nil"/>
            </w:tcBorders>
            <w:vAlign w:val="center"/>
          </w:tcPr>
          <w:p>
            <w:pPr>
              <w:widowControl/>
              <w:spacing w:line="240" w:lineRule="auto"/>
              <w:ind w:firstLine="0" w:firstLineChars="0"/>
              <w:jc w:val="center"/>
              <w:textAlignment w:val="center"/>
              <w:rPr>
                <w:rFonts w:ascii="宋体" w:hAnsi="宋体" w:eastAsia="宋体" w:cs="Times New Roman"/>
                <w:sz w:val="24"/>
                <w:lang w:bidi="ar"/>
              </w:rPr>
            </w:pPr>
            <w:r>
              <w:rPr>
                <w:rFonts w:hint="eastAsia" w:ascii="宋体" w:hAnsi="宋体" w:eastAsia="宋体" w:cs="Times New Roman"/>
                <w:sz w:val="24"/>
                <w:lang w:val="en-US" w:eastAsia="zh-CN"/>
              </w:rPr>
              <w:t>宁武县东寨镇食用菌种植项目</w:t>
            </w:r>
          </w:p>
        </w:tc>
        <w:tc>
          <w:tcPr>
            <w:tcW w:w="1382"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69.37</w:t>
            </w:r>
          </w:p>
        </w:tc>
        <w:tc>
          <w:tcPr>
            <w:tcW w:w="1878" w:type="dxa"/>
            <w:tcBorders>
              <w:tl2br w:val="nil"/>
              <w:tr2bl w:val="nil"/>
            </w:tcBorders>
            <w:vAlign w:val="center"/>
          </w:tcPr>
          <w:p>
            <w:pPr>
              <w:spacing w:line="240" w:lineRule="auto"/>
              <w:ind w:firstLine="0" w:firstLineChars="0"/>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69.37</w:t>
            </w:r>
          </w:p>
        </w:tc>
        <w:tc>
          <w:tcPr>
            <w:tcW w:w="1176" w:type="dxa"/>
            <w:tcBorders>
              <w:tl2br w:val="nil"/>
              <w:tr2bl w:val="nil"/>
            </w:tcBorders>
            <w:vAlign w:val="center"/>
          </w:tcPr>
          <w:p>
            <w:pPr>
              <w:spacing w:line="240" w:lineRule="auto"/>
              <w:ind w:firstLine="0" w:firstLineChars="0"/>
              <w:jc w:val="center"/>
              <w:rPr>
                <w:rFonts w:hint="eastAsia" w:ascii="宋体" w:hAnsi="宋体" w:eastAsia="宋体" w:cs="Times New Roman"/>
                <w:sz w:val="24"/>
                <w:lang w:eastAsia="zh-CN"/>
              </w:rPr>
            </w:pPr>
            <w:r>
              <w:rPr>
                <w:rFonts w:hint="eastAsia" w:ascii="宋体" w:hAnsi="宋体" w:eastAsia="宋体" w:cs="Times New Roman"/>
                <w:sz w:val="24"/>
                <w:lang w:val="en-US" w:eastAsia="zh-CN"/>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0" w:type="auto"/>
            <w:tcBorders>
              <w:tl2br w:val="nil"/>
              <w:tr2bl w:val="nil"/>
            </w:tcBorders>
            <w:vAlign w:val="center"/>
          </w:tcPr>
          <w:p>
            <w:pPr>
              <w:spacing w:line="240" w:lineRule="auto"/>
              <w:ind w:firstLine="0" w:firstLineChars="0"/>
              <w:jc w:val="center"/>
              <w:rPr>
                <w:rFonts w:ascii="宋体" w:hAnsi="宋体" w:eastAsia="宋体" w:cs="Times New Roman"/>
                <w:sz w:val="24"/>
                <w:lang w:bidi="ar"/>
              </w:rPr>
            </w:pPr>
            <w:r>
              <w:rPr>
                <w:rFonts w:hint="eastAsia" w:ascii="宋体" w:hAnsi="宋体" w:eastAsia="宋体" w:cs="Times New Roman"/>
                <w:sz w:val="24"/>
                <w:lang w:bidi="ar"/>
              </w:rPr>
              <w:t>2</w:t>
            </w:r>
          </w:p>
        </w:tc>
        <w:tc>
          <w:tcPr>
            <w:tcW w:w="3011"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Times New Roman"/>
                <w:sz w:val="24"/>
                <w:lang w:val="en-US" w:bidi="ar"/>
              </w:rPr>
            </w:pPr>
            <w:r>
              <w:rPr>
                <w:rFonts w:hint="eastAsia" w:ascii="宋体" w:hAnsi="宋体" w:eastAsia="宋体" w:cs="Times New Roman"/>
                <w:sz w:val="24"/>
                <w:lang w:val="en-US" w:eastAsia="zh-CN"/>
              </w:rPr>
              <w:t>宁武县东寨镇二马营村食用菌大棚建设项目</w:t>
            </w:r>
          </w:p>
        </w:tc>
        <w:tc>
          <w:tcPr>
            <w:tcW w:w="1382"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150</w:t>
            </w:r>
          </w:p>
        </w:tc>
        <w:tc>
          <w:tcPr>
            <w:tcW w:w="1878" w:type="dxa"/>
            <w:tcBorders>
              <w:tl2br w:val="nil"/>
              <w:tr2bl w:val="nil"/>
            </w:tcBorders>
            <w:vAlign w:val="center"/>
          </w:tcPr>
          <w:p>
            <w:pPr>
              <w:spacing w:line="240" w:lineRule="auto"/>
              <w:ind w:firstLine="0" w:firstLineChars="0"/>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150</w:t>
            </w:r>
          </w:p>
        </w:tc>
        <w:tc>
          <w:tcPr>
            <w:tcW w:w="1176" w:type="dxa"/>
            <w:tcBorders>
              <w:tl2br w:val="nil"/>
              <w:tr2bl w:val="nil"/>
            </w:tcBorders>
            <w:vAlign w:val="center"/>
          </w:tcPr>
          <w:p>
            <w:pPr>
              <w:spacing w:line="240" w:lineRule="auto"/>
              <w:ind w:firstLine="0" w:firstLineChars="0"/>
              <w:jc w:val="center"/>
              <w:rPr>
                <w:rFonts w:ascii="宋体" w:hAnsi="宋体" w:eastAsia="宋体" w:cs="Times New Roman"/>
                <w:sz w:val="24"/>
              </w:rPr>
            </w:pPr>
            <w:r>
              <w:rPr>
                <w:rFonts w:hint="eastAsia" w:ascii="宋体" w:hAnsi="宋体" w:eastAsia="宋体" w:cs="Times New Roman"/>
                <w:sz w:val="24"/>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3709" w:type="dxa"/>
            <w:gridSpan w:val="2"/>
            <w:tcBorders>
              <w:tl2br w:val="nil"/>
              <w:tr2bl w:val="nil"/>
            </w:tcBorders>
            <w:vAlign w:val="center"/>
          </w:tcPr>
          <w:p>
            <w:pPr>
              <w:spacing w:line="240" w:lineRule="auto"/>
              <w:ind w:firstLine="0" w:firstLineChars="0"/>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总计</w:t>
            </w:r>
          </w:p>
        </w:tc>
        <w:tc>
          <w:tcPr>
            <w:tcW w:w="1382"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219.37</w:t>
            </w:r>
          </w:p>
        </w:tc>
        <w:tc>
          <w:tcPr>
            <w:tcW w:w="1878" w:type="dxa"/>
            <w:tcBorders>
              <w:tl2br w:val="nil"/>
              <w:tr2bl w:val="nil"/>
            </w:tcBorders>
            <w:vAlign w:val="center"/>
          </w:tcPr>
          <w:p>
            <w:pPr>
              <w:spacing w:line="240" w:lineRule="auto"/>
              <w:ind w:firstLine="0" w:firstLineChars="0"/>
              <w:jc w:val="center"/>
              <w:rPr>
                <w:rFonts w:ascii="宋体" w:hAnsi="宋体" w:eastAsia="宋体" w:cs="Times New Roman"/>
                <w:sz w:val="24"/>
                <w:lang w:bidi="ar"/>
              </w:rPr>
            </w:pPr>
            <w:r>
              <w:rPr>
                <w:rFonts w:hint="eastAsia" w:ascii="宋体" w:hAnsi="宋体" w:eastAsia="宋体" w:cs="Times New Roman"/>
                <w:sz w:val="24"/>
                <w:lang w:val="en-US" w:eastAsia="zh-CN"/>
              </w:rPr>
              <w:t>219.37</w:t>
            </w:r>
          </w:p>
        </w:tc>
        <w:tc>
          <w:tcPr>
            <w:tcW w:w="1176" w:type="dxa"/>
            <w:tcBorders>
              <w:tl2br w:val="nil"/>
              <w:tr2bl w:val="nil"/>
            </w:tcBorders>
            <w:vAlign w:val="center"/>
          </w:tcPr>
          <w:p>
            <w:pPr>
              <w:spacing w:line="240" w:lineRule="auto"/>
              <w:ind w:firstLine="0" w:firstLineChars="0"/>
              <w:jc w:val="center"/>
              <w:rPr>
                <w:rFonts w:ascii="宋体" w:hAnsi="宋体" w:eastAsia="宋体" w:cs="Times New Roman"/>
                <w:sz w:val="24"/>
              </w:rPr>
            </w:pPr>
            <w:r>
              <w:rPr>
                <w:rFonts w:hint="eastAsia" w:ascii="宋体" w:hAnsi="宋体" w:eastAsia="宋体" w:cs="Times New Roman"/>
                <w:sz w:val="24"/>
                <w:lang w:val="en-US" w:eastAsia="zh-CN"/>
              </w:rPr>
              <w:t>219.37</w:t>
            </w:r>
          </w:p>
        </w:tc>
      </w:tr>
    </w:tbl>
    <w:p>
      <w:pPr>
        <w:pStyle w:val="5"/>
        <w:keepNext/>
        <w:keepLines/>
        <w:pageBreakBefore w:val="0"/>
        <w:widowControl w:val="0"/>
        <w:kinsoku/>
        <w:wordWrap/>
        <w:overflowPunct/>
        <w:topLinePunct w:val="0"/>
        <w:autoSpaceDE/>
        <w:autoSpaceDN/>
        <w:bidi w:val="0"/>
        <w:adjustRightInd/>
        <w:snapToGrid/>
        <w:spacing w:before="157" w:beforeLines="50"/>
        <w:ind w:firstLine="560"/>
        <w:textAlignment w:val="auto"/>
      </w:pPr>
      <w:bookmarkStart w:id="14" w:name="_Toc13746"/>
      <w:bookmarkStart w:id="15" w:name="_Toc11737"/>
      <w:r>
        <w:rPr>
          <w:rFonts w:hint="eastAsia"/>
          <w:lang w:eastAsia="zh-CN"/>
        </w:rPr>
        <w:t>（</w:t>
      </w:r>
      <w:r>
        <w:rPr>
          <w:rFonts w:hint="eastAsia"/>
          <w:lang w:val="en-US" w:eastAsia="zh-CN"/>
        </w:rPr>
        <w:t>四</w:t>
      </w:r>
      <w:r>
        <w:rPr>
          <w:rFonts w:hint="eastAsia"/>
          <w:lang w:eastAsia="zh-CN"/>
        </w:rPr>
        <w:t>）</w:t>
      </w:r>
      <w:r>
        <w:rPr>
          <w:rFonts w:hint="eastAsia"/>
        </w:rPr>
        <w:t>项目绩效目标</w:t>
      </w:r>
      <w:bookmarkEnd w:id="14"/>
      <w:bookmarkEnd w:id="15"/>
    </w:p>
    <w:p>
      <w:pPr>
        <w:pStyle w:val="6"/>
        <w:ind w:firstLine="562"/>
        <w:rPr>
          <w:rFonts w:hint="default" w:eastAsia="仿宋_GB2312"/>
          <w:lang w:val="en-US" w:eastAsia="zh-CN"/>
        </w:rPr>
      </w:pPr>
      <w:r>
        <w:rPr>
          <w:rFonts w:hint="eastAsia"/>
        </w:rPr>
        <w:t>1.</w:t>
      </w:r>
      <w:r>
        <w:rPr>
          <w:rFonts w:hint="eastAsia"/>
          <w:lang w:val="en-US" w:eastAsia="zh-CN"/>
        </w:rPr>
        <w:t>总体目标</w:t>
      </w:r>
    </w:p>
    <w:p>
      <w:pPr>
        <w:bidi w:val="0"/>
        <w:rPr>
          <w:rFonts w:hint="default"/>
          <w:lang w:val="en-US"/>
        </w:rPr>
      </w:pPr>
      <w:r>
        <w:rPr>
          <w:rFonts w:hint="eastAsia"/>
        </w:rPr>
        <w:t>按照《宁武县2020年统筹整合使用财政资金开展脱贫攻坚调整实施方案》（宁脱贫攻坚部〔2020〕20号）文件，</w:t>
      </w:r>
      <w:r>
        <w:rPr>
          <w:rFonts w:hint="eastAsia"/>
          <w:lang w:val="en-US" w:eastAsia="zh-CN"/>
        </w:rPr>
        <w:t>宁武县东寨镇食用菌种植项目与宁武县东寨镇二马营村食用菌大棚建设项目主要绩效为每座大棚年收益2万元，带动贫困户年增收1,500万元，拓宽周围贫困户就业渠道，推动农业产业结构发展。</w:t>
      </w:r>
    </w:p>
    <w:p>
      <w:pPr>
        <w:pStyle w:val="6"/>
        <w:bidi w:val="0"/>
        <w:rPr>
          <w:rFonts w:hint="default"/>
          <w:lang w:val="en-US" w:eastAsia="zh-CN"/>
        </w:rPr>
      </w:pPr>
      <w:r>
        <w:rPr>
          <w:rFonts w:hint="eastAsia"/>
        </w:rPr>
        <w:t>2.</w:t>
      </w:r>
      <w:r>
        <w:rPr>
          <w:rFonts w:hint="eastAsia"/>
          <w:lang w:val="en-US" w:eastAsia="zh-CN"/>
        </w:rPr>
        <w:t>具体目标</w:t>
      </w:r>
    </w:p>
    <w:p>
      <w:pPr>
        <w:bidi w:val="0"/>
        <w:rPr>
          <w:rFonts w:hint="eastAsia"/>
          <w:lang w:val="en-US" w:eastAsia="zh-CN"/>
        </w:rPr>
      </w:pPr>
      <w:bookmarkStart w:id="16" w:name="_Toc16303"/>
      <w:r>
        <w:rPr>
          <w:rFonts w:hint="eastAsia"/>
          <w:lang w:val="en-US" w:eastAsia="zh-CN"/>
        </w:rPr>
        <w:t>宁武县东寨镇人民政府2020年统筹整合财政资金项目实施后，带动贫困户增收人数要达到预期值；要在一定程度上推动农业产业结构调整的发展；对周围农户就业的渠道要有所增加；食用菌菌棒残渣后期要进行处理、重新利用；</w:t>
      </w:r>
      <w:r>
        <w:rPr>
          <w:rFonts w:hint="eastAsia"/>
        </w:rPr>
        <w:t>项目后期建立管护</w:t>
      </w:r>
      <w:bookmarkStart w:id="48" w:name="_GoBack"/>
      <w:bookmarkEnd w:id="48"/>
      <w:r>
        <w:rPr>
          <w:rFonts w:hint="eastAsia"/>
        </w:rPr>
        <w:t>制度，且执行有效；受益群众满意度达90%以上。</w:t>
      </w:r>
      <w:r>
        <w:rPr>
          <w:rFonts w:hint="eastAsia"/>
          <w:lang w:val="en-US" w:eastAsia="zh-CN"/>
        </w:rPr>
        <w:t>具体目标情况见表1-3。</w:t>
      </w:r>
    </w:p>
    <w:p>
      <w:pPr>
        <w:pStyle w:val="2"/>
        <w:rPr>
          <w:rFonts w:hint="eastAsia"/>
          <w:lang w:val="en-US" w:eastAsia="zh-CN"/>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3"/>
        <w:rPr>
          <w:rFonts w:hint="default" w:eastAsia="宋体"/>
          <w:lang w:val="en-US" w:eastAsia="zh-CN"/>
        </w:rPr>
      </w:pPr>
      <w:r>
        <w:rPr>
          <w:rFonts w:hint="eastAsia" w:ascii="宋体" w:hAnsi="宋体" w:eastAsia="宋体" w:cstheme="majorBidi"/>
          <w:bCs/>
          <w:szCs w:val="28"/>
        </w:rPr>
        <w:t>表</w:t>
      </w:r>
      <w:r>
        <w:rPr>
          <w:rFonts w:hint="eastAsia" w:ascii="宋体" w:hAnsi="宋体" w:eastAsia="宋体" w:cstheme="majorBidi"/>
          <w:bCs/>
          <w:szCs w:val="28"/>
          <w:lang w:val="en-US" w:eastAsia="zh-CN"/>
        </w:rPr>
        <w:t>1</w:t>
      </w:r>
      <w:r>
        <w:rPr>
          <w:rFonts w:hint="eastAsia" w:ascii="宋体" w:hAnsi="宋体" w:eastAsia="宋体" w:cstheme="majorBidi"/>
          <w:bCs/>
          <w:szCs w:val="28"/>
        </w:rPr>
        <w:t>-</w:t>
      </w:r>
      <w:r>
        <w:rPr>
          <w:rFonts w:hint="eastAsia" w:ascii="宋体" w:hAnsi="宋体" w:eastAsia="宋体" w:cstheme="majorBidi"/>
          <w:bCs/>
          <w:szCs w:val="28"/>
          <w:lang w:val="en-US" w:eastAsia="zh-CN"/>
        </w:rPr>
        <w:t>3</w:t>
      </w:r>
      <w:r>
        <w:rPr>
          <w:rFonts w:hint="eastAsia" w:ascii="宋体" w:hAnsi="宋体" w:eastAsia="宋体" w:cstheme="majorBidi"/>
          <w:bCs/>
          <w:szCs w:val="28"/>
        </w:rPr>
        <w:t xml:space="preserve"> </w:t>
      </w:r>
      <w:r>
        <w:rPr>
          <w:rFonts w:hint="eastAsia" w:ascii="宋体" w:hAnsi="宋体" w:eastAsia="宋体" w:cstheme="majorBidi"/>
          <w:bCs/>
          <w:szCs w:val="28"/>
          <w:lang w:val="en-US" w:eastAsia="zh-CN"/>
        </w:rPr>
        <w:t>项目具体目标情况</w:t>
      </w:r>
    </w:p>
    <w:tbl>
      <w:tblPr>
        <w:tblStyle w:val="13"/>
        <w:tblW w:w="4997" w:type="pct"/>
        <w:tblInd w:w="0" w:type="dxa"/>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Layout w:type="autofit"/>
        <w:tblCellMar>
          <w:top w:w="0" w:type="dxa"/>
          <w:left w:w="0" w:type="dxa"/>
          <w:bottom w:w="0" w:type="dxa"/>
          <w:right w:w="0" w:type="dxa"/>
        </w:tblCellMar>
      </w:tblPr>
      <w:tblGrid>
        <w:gridCol w:w="2556"/>
        <w:gridCol w:w="4519"/>
        <w:gridCol w:w="1898"/>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blHeader/>
        </w:trPr>
        <w:tc>
          <w:tcPr>
            <w:tcW w:w="1424" w:type="pct"/>
            <w:tcBorders>
              <w:tl2br w:val="nil"/>
              <w:tr2bl w:val="nil"/>
            </w:tcBorders>
            <w:shd w:val="clear" w:color="auto" w:fill="BEBEBE" w:themeFill="background1" w:themeFillShade="BF"/>
            <w:tcMar>
              <w:top w:w="10" w:type="dxa"/>
              <w:left w:w="10" w:type="dxa"/>
              <w:right w:w="10" w:type="dxa"/>
            </w:tcMar>
            <w:vAlign w:val="center"/>
          </w:tcPr>
          <w:p>
            <w:pPr>
              <w:widowControl/>
              <w:spacing w:line="240" w:lineRule="auto"/>
              <w:ind w:firstLine="0" w:firstLineChars="0"/>
              <w:jc w:val="center"/>
              <w:textAlignment w:val="center"/>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目标类型</w:t>
            </w:r>
          </w:p>
        </w:tc>
        <w:tc>
          <w:tcPr>
            <w:tcW w:w="2517" w:type="pct"/>
            <w:tcBorders>
              <w:tl2br w:val="nil"/>
              <w:tr2bl w:val="nil"/>
            </w:tcBorders>
            <w:shd w:val="clear" w:color="auto" w:fill="BEBEBE" w:themeFill="background1" w:themeFillShade="BF"/>
            <w:tcMar>
              <w:top w:w="10" w:type="dxa"/>
              <w:left w:w="10" w:type="dxa"/>
              <w:right w:w="10" w:type="dxa"/>
            </w:tcMar>
            <w:vAlign w:val="center"/>
          </w:tcPr>
          <w:p>
            <w:pPr>
              <w:widowControl/>
              <w:spacing w:line="240" w:lineRule="auto"/>
              <w:ind w:firstLine="0" w:firstLineChars="0"/>
              <w:jc w:val="center"/>
              <w:textAlignment w:val="center"/>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目标名称</w:t>
            </w:r>
          </w:p>
        </w:tc>
        <w:tc>
          <w:tcPr>
            <w:tcW w:w="1057" w:type="pct"/>
            <w:tcBorders>
              <w:tl2br w:val="nil"/>
              <w:tr2bl w:val="nil"/>
            </w:tcBorders>
            <w:shd w:val="clear" w:color="auto" w:fill="BEBEBE" w:themeFill="background1" w:themeFillShade="BF"/>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目标值</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4"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实际完成率</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工程完成量</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4"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完成及时性</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项目完成及时率</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4"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质量达标率</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质量达标率</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4"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经济效益</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带动贫困户增收</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效果明显</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4" w:type="pct"/>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社会效益</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推动农业产业结构调整</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效果明显</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4" w:type="pct"/>
            <w:vMerge w:val="continue"/>
            <w:tcBorders>
              <w:tl2br w:val="nil"/>
              <w:tr2bl w:val="nil"/>
            </w:tcBorders>
            <w:shd w:val="clear" w:color="auto" w:fill="auto"/>
            <w:tcMar>
              <w:top w:w="10" w:type="dxa"/>
              <w:left w:w="10" w:type="dxa"/>
              <w:right w:w="10" w:type="dxa"/>
            </w:tcMar>
            <w:vAlign w:val="center"/>
          </w:tcPr>
          <w:p>
            <w:pPr>
              <w:jc w:val="center"/>
              <w:rPr>
                <w:rFonts w:ascii="宋体" w:hAnsi="宋体" w:eastAsia="宋体" w:cs="宋体"/>
                <w:color w:val="000000"/>
                <w:sz w:val="24"/>
                <w:szCs w:val="24"/>
              </w:rPr>
            </w:pP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拓宽就业渠道</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效果明显</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4"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生态效益</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带动废弃物合理化利用</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效果明显</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4"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可持续影响</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管护主体责任落实率</w:t>
            </w:r>
          </w:p>
        </w:tc>
        <w:tc>
          <w:tcPr>
            <w:tcW w:w="1057" w:type="pct"/>
            <w:tcBorders>
              <w:tl2br w:val="nil"/>
              <w:tr2bl w:val="nil"/>
            </w:tcBorders>
            <w:shd w:val="clear" w:color="auto" w:fill="auto"/>
            <w:noWrap/>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效果明显</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4"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群众满意度</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受益群众满意度</w:t>
            </w:r>
          </w:p>
        </w:tc>
        <w:tc>
          <w:tcPr>
            <w:tcW w:w="1057" w:type="pct"/>
            <w:tcBorders>
              <w:tl2br w:val="nil"/>
              <w:tr2bl w:val="nil"/>
            </w:tcBorders>
            <w:shd w:val="clear" w:color="auto" w:fill="auto"/>
            <w:noWrap/>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≥90%</w:t>
            </w:r>
          </w:p>
        </w:tc>
      </w:tr>
    </w:tbl>
    <w:p>
      <w:pPr>
        <w:pStyle w:val="4"/>
        <w:keepNext/>
        <w:keepLines/>
        <w:pageBreakBefore w:val="0"/>
        <w:widowControl w:val="0"/>
        <w:kinsoku/>
        <w:wordWrap/>
        <w:overflowPunct/>
        <w:topLinePunct w:val="0"/>
        <w:autoSpaceDE/>
        <w:autoSpaceDN/>
        <w:bidi w:val="0"/>
        <w:adjustRightInd/>
        <w:snapToGrid/>
        <w:spacing w:before="157" w:beforeLines="50"/>
        <w:ind w:firstLine="560"/>
        <w:textAlignment w:val="auto"/>
        <w:rPr>
          <w:rFonts w:hint="default" w:eastAsia="黑体"/>
          <w:lang w:val="en-US" w:eastAsia="zh-CN"/>
        </w:rPr>
      </w:pPr>
      <w:bookmarkStart w:id="17" w:name="_Toc9035"/>
      <w:r>
        <w:rPr>
          <w:rFonts w:hint="eastAsia"/>
        </w:rPr>
        <w:t>二、绩效评价工作</w:t>
      </w:r>
      <w:bookmarkEnd w:id="16"/>
      <w:r>
        <w:rPr>
          <w:rFonts w:hint="eastAsia"/>
          <w:lang w:val="en-US" w:eastAsia="zh-CN"/>
        </w:rPr>
        <w:t>开展情况</w:t>
      </w:r>
      <w:bookmarkEnd w:id="17"/>
    </w:p>
    <w:p>
      <w:pPr>
        <w:pStyle w:val="5"/>
        <w:ind w:firstLine="560"/>
      </w:pPr>
      <w:bookmarkStart w:id="18" w:name="_Toc30215"/>
      <w:bookmarkStart w:id="19" w:name="_Toc13856"/>
      <w:bookmarkStart w:id="20" w:name="_Toc28301"/>
      <w:r>
        <w:rPr>
          <w:rFonts w:hint="eastAsia"/>
          <w:lang w:eastAsia="zh-CN"/>
        </w:rPr>
        <w:t>（</w:t>
      </w:r>
      <w:r>
        <w:rPr>
          <w:rFonts w:hint="eastAsia"/>
          <w:lang w:val="en-US" w:eastAsia="zh-CN"/>
        </w:rPr>
        <w:t>一</w:t>
      </w:r>
      <w:r>
        <w:rPr>
          <w:rFonts w:hint="eastAsia"/>
          <w:lang w:eastAsia="zh-CN"/>
        </w:rPr>
        <w:t>）</w:t>
      </w:r>
      <w:r>
        <w:rPr>
          <w:rFonts w:hint="eastAsia"/>
        </w:rPr>
        <w:t>评价目的</w:t>
      </w:r>
      <w:bookmarkEnd w:id="18"/>
      <w:bookmarkEnd w:id="19"/>
    </w:p>
    <w:p>
      <w:pPr>
        <w:bidi w:val="0"/>
        <w:rPr>
          <w:rFonts w:hint="eastAsia" w:eastAsia="仿宋_GB2312"/>
          <w:lang w:eastAsia="zh-CN"/>
        </w:rPr>
      </w:pPr>
      <w:r>
        <w:rPr>
          <w:rFonts w:hint="eastAsia"/>
          <w:lang w:val="en-US" w:eastAsia="zh-CN"/>
        </w:rPr>
        <w:t>通过预算绩效评价，及时发现问题，总结经验，提出改进意见。一是为政府相关决策及下一年度预算安排提供可行性参考建议。为财政部门加强财政支出管理，强化支出责任，科学配置资源，提高财政资金的使用效益；二是为主管单位掌握项目动态、优化项目信息反馈机制、加强项目监管，进一步修改完善宁武县东寨镇人民政府统筹整合财政资金项目提供参考。</w:t>
      </w:r>
    </w:p>
    <w:p>
      <w:pPr>
        <w:pStyle w:val="5"/>
        <w:ind w:firstLine="560"/>
      </w:pPr>
      <w:bookmarkStart w:id="21" w:name="_Toc14344"/>
      <w:r>
        <w:rPr>
          <w:rFonts w:hint="eastAsia"/>
          <w:lang w:eastAsia="zh-CN"/>
        </w:rPr>
        <w:t>（</w:t>
      </w:r>
      <w:r>
        <w:rPr>
          <w:rFonts w:hint="eastAsia"/>
          <w:lang w:val="en-US" w:eastAsia="zh-CN"/>
        </w:rPr>
        <w:t>二</w:t>
      </w:r>
      <w:r>
        <w:rPr>
          <w:rFonts w:hint="eastAsia"/>
          <w:lang w:eastAsia="zh-CN"/>
        </w:rPr>
        <w:t>）</w:t>
      </w:r>
      <w:r>
        <w:rPr>
          <w:rFonts w:hint="eastAsia"/>
        </w:rPr>
        <w:t>评价对象</w:t>
      </w:r>
      <w:r>
        <w:rPr>
          <w:rFonts w:hint="eastAsia"/>
          <w:lang w:val="en-US" w:eastAsia="zh-CN"/>
        </w:rPr>
        <w:t>和</w:t>
      </w:r>
      <w:r>
        <w:rPr>
          <w:rFonts w:hint="eastAsia"/>
        </w:rPr>
        <w:t>范围</w:t>
      </w:r>
      <w:bookmarkEnd w:id="20"/>
      <w:bookmarkEnd w:id="21"/>
    </w:p>
    <w:p>
      <w:pPr>
        <w:bidi w:val="0"/>
      </w:pPr>
      <w:r>
        <w:rPr>
          <w:rFonts w:hint="eastAsia"/>
        </w:rPr>
        <w:t>本次绩效评价的对象是</w:t>
      </w:r>
      <w:r>
        <w:rPr>
          <w:rFonts w:hint="eastAsia"/>
          <w:lang w:eastAsia="zh-CN"/>
        </w:rPr>
        <w:t>宁武县东寨镇人民政府2020年统筹整合财政资金</w:t>
      </w:r>
      <w:r>
        <w:rPr>
          <w:rFonts w:hint="eastAsia"/>
          <w:lang w:val="en-US" w:eastAsia="zh-CN"/>
        </w:rPr>
        <w:t>219.37</w:t>
      </w:r>
      <w:r>
        <w:rPr>
          <w:rFonts w:hint="eastAsia"/>
        </w:rPr>
        <w:t>万元</w:t>
      </w:r>
      <w:r>
        <w:rPr>
          <w:rFonts w:hint="eastAsia"/>
          <w:lang w:eastAsia="zh-CN"/>
        </w:rPr>
        <w:t>。</w:t>
      </w:r>
      <w:r>
        <w:rPr>
          <w:rFonts w:hint="eastAsia"/>
        </w:rPr>
        <w:t>与此同时，对财政资金的监督、管理使用进行评价，根据评价结果，提出相关政策性意见。</w:t>
      </w:r>
    </w:p>
    <w:p>
      <w:pPr>
        <w:bidi w:val="0"/>
        <w:rPr>
          <w:rFonts w:hint="eastAsia"/>
        </w:rPr>
      </w:pPr>
      <w:r>
        <w:rPr>
          <w:rFonts w:hint="eastAsia"/>
        </w:rPr>
        <w:t>绩效评价范围为</w:t>
      </w:r>
      <w:r>
        <w:rPr>
          <w:rFonts w:hint="eastAsia"/>
          <w:lang w:eastAsia="zh-CN"/>
        </w:rPr>
        <w:t>宁武县东寨镇人民政府2020年统筹整合财政资金</w:t>
      </w:r>
      <w:r>
        <w:rPr>
          <w:rFonts w:hint="eastAsia"/>
        </w:rPr>
        <w:t>产生的绩效以及为产生绩效所经历的各环节过程，具体绩效评价范围包括项目决策、过程、产出、效益。</w:t>
      </w:r>
    </w:p>
    <w:p>
      <w:pPr>
        <w:pStyle w:val="5"/>
        <w:bidi w:val="0"/>
        <w:rPr>
          <w:rFonts w:hint="default"/>
          <w:lang w:val="en-US" w:eastAsia="zh-CN"/>
        </w:rPr>
      </w:pPr>
      <w:bookmarkStart w:id="22" w:name="_Toc14555"/>
      <w:r>
        <w:rPr>
          <w:rFonts w:hint="eastAsia"/>
          <w:lang w:eastAsia="zh-CN"/>
        </w:rPr>
        <w:t>（</w:t>
      </w:r>
      <w:r>
        <w:rPr>
          <w:rFonts w:hint="eastAsia"/>
          <w:lang w:val="en-US" w:eastAsia="zh-CN"/>
        </w:rPr>
        <w:t>三</w:t>
      </w:r>
      <w:r>
        <w:rPr>
          <w:rFonts w:hint="eastAsia"/>
          <w:lang w:eastAsia="zh-CN"/>
        </w:rPr>
        <w:t>）</w:t>
      </w:r>
      <w:r>
        <w:rPr>
          <w:rFonts w:hint="eastAsia"/>
          <w:lang w:val="en-US" w:eastAsia="zh-CN"/>
        </w:rPr>
        <w:t>评价基准日</w:t>
      </w:r>
      <w:bookmarkEnd w:id="22"/>
    </w:p>
    <w:p>
      <w:pPr>
        <w:bidi w:val="0"/>
      </w:pPr>
      <w:r>
        <w:rPr>
          <w:rFonts w:hint="eastAsia"/>
        </w:rPr>
        <w:t>评价基准日为2020年12月31日。</w:t>
      </w:r>
    </w:p>
    <w:p>
      <w:pPr>
        <w:pStyle w:val="5"/>
        <w:bidi w:val="0"/>
        <w:rPr>
          <w:rFonts w:hint="eastAsia"/>
        </w:rPr>
      </w:pPr>
      <w:bookmarkStart w:id="23" w:name="_Toc20815"/>
      <w:bookmarkStart w:id="24" w:name="_Toc20616"/>
      <w:r>
        <w:rPr>
          <w:rFonts w:hint="eastAsia"/>
          <w:lang w:eastAsia="zh-CN"/>
        </w:rPr>
        <w:t>（</w:t>
      </w:r>
      <w:r>
        <w:rPr>
          <w:rFonts w:hint="eastAsia"/>
          <w:lang w:val="en-US" w:eastAsia="zh-CN"/>
        </w:rPr>
        <w:t>四</w:t>
      </w:r>
      <w:r>
        <w:rPr>
          <w:rFonts w:hint="eastAsia"/>
          <w:lang w:eastAsia="zh-CN"/>
        </w:rPr>
        <w:t>）</w:t>
      </w:r>
      <w:r>
        <w:rPr>
          <w:rFonts w:hint="eastAsia"/>
        </w:rPr>
        <w:t>绩效评价指标体系</w:t>
      </w:r>
      <w:bookmarkEnd w:id="23"/>
      <w:bookmarkEnd w:id="24"/>
      <w:r>
        <w:rPr>
          <w:rFonts w:hint="eastAsia"/>
        </w:rPr>
        <w:tab/>
      </w:r>
    </w:p>
    <w:p>
      <w:pPr>
        <w:pStyle w:val="6"/>
        <w:bidi w:val="0"/>
        <w:rPr>
          <w:rFonts w:hint="eastAsia"/>
          <w:lang w:val="en-US" w:eastAsia="zh-CN"/>
        </w:rPr>
      </w:pPr>
      <w:bookmarkStart w:id="25" w:name="_Toc706"/>
      <w:r>
        <w:rPr>
          <w:rFonts w:hint="eastAsia"/>
          <w:lang w:val="en-US" w:eastAsia="zh-CN"/>
        </w:rPr>
        <w:t>1.指标体系设计思路</w:t>
      </w:r>
    </w:p>
    <w:p>
      <w:pPr>
        <w:bidi w:val="0"/>
        <w:rPr>
          <w:rFonts w:hint="eastAsia"/>
          <w:lang w:val="en-US" w:eastAsia="zh-CN"/>
        </w:rPr>
      </w:pPr>
      <w:r>
        <w:rPr>
          <w:rFonts w:hint="eastAsia"/>
          <w:lang w:val="en-US" w:eastAsia="zh-CN"/>
        </w:rPr>
        <w:t>按照财政部《项目支出绩效评价管理办法》（财预〔2020〕10号）中的项目支出绩效评价指标体系框架（参考）、山西省《省级项目支出绩效评价管理办法》（晋财绩〔2020〕17号）中的项目支出绩效评价指标体系框架（参考），遵循“突出项目资金、兼顾政策内容”的评价思路，结合宁武县东寨镇人民政府的实际情况，本着全面反映宁武县东寨镇人民政府统筹整合财政资金项目的预算绩效管理情况，本着尽可能细化、量化、可操作的原则，结合计划标准、历史标准等制定指标的目标值，兼顾相关政策内容，设计形成了宁武县东寨镇人民政府2020年统筹整合财政资金绩效评价指标体系，从决策类（包括项目立项、绩效目标、资金投入）、过程类（包括资金管理、组织实施）、产出类（包括产出数量、产出质量、产出时效）、效益类（包括经济</w:t>
      </w:r>
      <w:r>
        <w:rPr>
          <w:rFonts w:hint="eastAsia"/>
        </w:rPr>
        <w:t>效益、</w:t>
      </w:r>
      <w:r>
        <w:rPr>
          <w:rFonts w:hint="eastAsia"/>
          <w:lang w:val="en-US" w:eastAsia="zh-CN"/>
        </w:rPr>
        <w:t>社会效益、生态效益、</w:t>
      </w:r>
      <w:r>
        <w:rPr>
          <w:rFonts w:hint="eastAsia"/>
        </w:rPr>
        <w:t>可持续影响及满意度</w:t>
      </w:r>
      <w:r>
        <w:rPr>
          <w:rFonts w:hint="eastAsia"/>
          <w:lang w:val="en-US" w:eastAsia="zh-CN"/>
        </w:rPr>
        <w:t>）四个维度进行评价。</w:t>
      </w:r>
    </w:p>
    <w:p>
      <w:pPr>
        <w:pStyle w:val="6"/>
        <w:bidi w:val="0"/>
        <w:rPr>
          <w:rFonts w:hint="eastAsia"/>
          <w:lang w:val="zh-CN" w:eastAsia="zh-CN"/>
        </w:rPr>
      </w:pPr>
      <w:r>
        <w:rPr>
          <w:rFonts w:hint="eastAsia"/>
          <w:lang w:val="en-US" w:eastAsia="zh-CN"/>
        </w:rPr>
        <w:t>2</w:t>
      </w:r>
      <w:r>
        <w:rPr>
          <w:rFonts w:hint="eastAsia"/>
          <w:lang w:val="zh-CN" w:eastAsia="zh-CN"/>
        </w:rPr>
        <w:t>.权重设计思路</w:t>
      </w:r>
    </w:p>
    <w:p>
      <w:pPr>
        <w:bidi w:val="0"/>
        <w:rPr>
          <w:rFonts w:hint="eastAsia"/>
          <w:lang w:val="en-US" w:eastAsia="zh-CN"/>
        </w:rPr>
      </w:pPr>
      <w:r>
        <w:rPr>
          <w:rFonts w:hint="eastAsia"/>
          <w:lang w:val="zh-CN" w:eastAsia="zh-CN"/>
        </w:rPr>
        <w:t>本次</w:t>
      </w:r>
      <w:r>
        <w:rPr>
          <w:rFonts w:hint="eastAsia"/>
          <w:lang w:val="en-US" w:eastAsia="zh-CN"/>
        </w:rPr>
        <w:t>绩效评价指标</w:t>
      </w:r>
      <w:r>
        <w:rPr>
          <w:rFonts w:hint="eastAsia"/>
          <w:lang w:val="zh-CN" w:eastAsia="zh-CN"/>
        </w:rPr>
        <w:t>权重设计</w:t>
      </w:r>
      <w:r>
        <w:rPr>
          <w:rFonts w:hint="eastAsia"/>
          <w:lang w:val="en-US" w:eastAsia="zh-CN"/>
        </w:rPr>
        <w:t>一级指标</w:t>
      </w:r>
      <w:r>
        <w:rPr>
          <w:rFonts w:hint="eastAsia"/>
          <w:lang w:val="zh-CN" w:eastAsia="zh-CN"/>
        </w:rPr>
        <w:t>权重设计</w:t>
      </w:r>
      <w:r>
        <w:rPr>
          <w:rFonts w:hint="eastAsia"/>
          <w:lang w:val="en-US" w:eastAsia="zh-CN"/>
        </w:rPr>
        <w:t>按照《项目支出绩效评价管理办法》（财预〔2020〕10号）中的项目支出绩效评价指标体系框架（参考）、山西省《省级项目支出绩效评价管理办法》（晋财绩〔2020〕17号）文件要求执行</w:t>
      </w:r>
      <w:r>
        <w:rPr>
          <w:rFonts w:hint="eastAsia"/>
          <w:lang w:val="zh-CN" w:eastAsia="zh-CN"/>
        </w:rPr>
        <w:t>，最终确定</w:t>
      </w:r>
      <w:r>
        <w:rPr>
          <w:rFonts w:hint="eastAsia"/>
          <w:lang w:val="en-US" w:eastAsia="zh-CN"/>
        </w:rPr>
        <w:t>决策</w:t>
      </w:r>
      <w:r>
        <w:rPr>
          <w:rFonts w:hint="eastAsia"/>
          <w:lang w:val="zh-CN" w:eastAsia="zh-CN"/>
        </w:rPr>
        <w:t>类指标权重占比</w:t>
      </w:r>
      <w:r>
        <w:rPr>
          <w:rFonts w:hint="eastAsia"/>
          <w:lang w:val="en-US" w:eastAsia="zh-CN"/>
        </w:rPr>
        <w:t>2</w:t>
      </w:r>
      <w:r>
        <w:rPr>
          <w:rFonts w:hint="eastAsia"/>
          <w:lang w:val="zh-CN" w:eastAsia="zh-CN"/>
        </w:rPr>
        <w:t>0%，过程类指标权重占比</w:t>
      </w:r>
      <w:r>
        <w:rPr>
          <w:rFonts w:hint="eastAsia"/>
          <w:lang w:val="en-US" w:eastAsia="zh-CN"/>
        </w:rPr>
        <w:t>2</w:t>
      </w:r>
      <w:r>
        <w:rPr>
          <w:rFonts w:hint="eastAsia"/>
          <w:lang w:val="zh-CN" w:eastAsia="zh-CN"/>
        </w:rPr>
        <w:t>0%，产出类指标权重占比</w:t>
      </w:r>
      <w:r>
        <w:rPr>
          <w:rFonts w:hint="eastAsia"/>
          <w:lang w:val="en-US" w:eastAsia="zh-CN"/>
        </w:rPr>
        <w:t>3</w:t>
      </w:r>
      <w:r>
        <w:rPr>
          <w:rFonts w:hint="eastAsia"/>
          <w:lang w:val="zh-CN" w:eastAsia="zh-CN"/>
        </w:rPr>
        <w:t>0%，效益类指标权重占比</w:t>
      </w:r>
      <w:r>
        <w:rPr>
          <w:rFonts w:hint="eastAsia"/>
          <w:lang w:val="en-US" w:eastAsia="zh-CN"/>
        </w:rPr>
        <w:t>3</w:t>
      </w:r>
      <w:r>
        <w:rPr>
          <w:rFonts w:hint="eastAsia"/>
          <w:lang w:val="zh-CN" w:eastAsia="zh-CN"/>
        </w:rPr>
        <w:t>0%。二、三级指标</w:t>
      </w:r>
      <w:r>
        <w:rPr>
          <w:rFonts w:hint="eastAsia"/>
          <w:lang w:val="en-US" w:eastAsia="zh-CN"/>
        </w:rPr>
        <w:t>权重分值</w:t>
      </w:r>
      <w:r>
        <w:rPr>
          <w:rFonts w:hint="eastAsia"/>
          <w:lang w:val="zh-CN" w:eastAsia="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6"/>
        <w:bidi w:val="0"/>
        <w:rPr>
          <w:rFonts w:hint="eastAsia"/>
          <w:lang w:val="en-US" w:eastAsia="zh-CN"/>
        </w:rPr>
      </w:pPr>
      <w:r>
        <w:rPr>
          <w:rFonts w:hint="eastAsia"/>
          <w:lang w:val="en-US" w:eastAsia="zh-CN"/>
        </w:rPr>
        <w:t>3.指标体系具体内容</w:t>
      </w:r>
    </w:p>
    <w:p>
      <w:pPr>
        <w:ind w:firstLine="640"/>
        <w:rPr>
          <w:rFonts w:hint="eastAsia"/>
          <w:lang w:val="en-US" w:eastAsia="zh-CN"/>
        </w:rPr>
      </w:pPr>
      <w:r>
        <w:t>指标体系由</w:t>
      </w:r>
      <w:r>
        <w:rPr>
          <w:rFonts w:hint="eastAsia"/>
        </w:rPr>
        <w:t>4</w:t>
      </w:r>
      <w:r>
        <w:t>项一级指标、</w:t>
      </w:r>
      <w:r>
        <w:rPr>
          <w:rFonts w:hint="eastAsia"/>
          <w:lang w:val="en-US" w:eastAsia="zh-CN"/>
        </w:rPr>
        <w:t>13</w:t>
      </w:r>
      <w:r>
        <w:t>项二级指标、</w:t>
      </w:r>
      <w:r>
        <w:rPr>
          <w:rFonts w:hint="eastAsia"/>
          <w:lang w:val="en-US" w:eastAsia="zh-CN"/>
        </w:rPr>
        <w:t>24</w:t>
      </w:r>
      <w:r>
        <w:t>项三级指标构成。数据主要来源于政策文件、</w:t>
      </w:r>
      <w:r>
        <w:rPr>
          <w:rFonts w:hint="eastAsia"/>
        </w:rPr>
        <w:t>财经</w:t>
      </w:r>
      <w:r>
        <w:t>法规、</w:t>
      </w:r>
      <w:r>
        <w:rPr>
          <w:rFonts w:hint="eastAsia"/>
        </w:rPr>
        <w:t>单位提供相关资料</w:t>
      </w:r>
      <w:r>
        <w:t>、访谈等。</w:t>
      </w:r>
      <w:r>
        <w:rPr>
          <w:rFonts w:hint="eastAsia"/>
        </w:rPr>
        <w:t>决策</w:t>
      </w:r>
      <w:r>
        <w:rPr>
          <w:rFonts w:hint="eastAsia"/>
          <w:lang w:val="en-US" w:eastAsia="zh-CN"/>
        </w:rPr>
        <w:t>类指标</w:t>
      </w:r>
      <w:r>
        <w:rPr>
          <w:rFonts w:hint="eastAsia"/>
        </w:rPr>
        <w:t>占权重分20分，</w:t>
      </w:r>
      <w:r>
        <w:t>从</w:t>
      </w:r>
      <w:r>
        <w:rPr>
          <w:rFonts w:hint="eastAsia"/>
        </w:rPr>
        <w:t>项目立项</w:t>
      </w:r>
      <w:r>
        <w:rPr>
          <w:rFonts w:hint="eastAsia"/>
          <w:lang w:eastAsia="zh-CN"/>
        </w:rPr>
        <w:t>、</w:t>
      </w:r>
      <w:r>
        <w:rPr>
          <w:rFonts w:hint="eastAsia"/>
          <w:lang w:val="en-US" w:eastAsia="zh-CN"/>
        </w:rPr>
        <w:t>绩效目标及</w:t>
      </w:r>
      <w:r>
        <w:rPr>
          <w:rFonts w:hint="eastAsia"/>
        </w:rPr>
        <w:t>资金</w:t>
      </w:r>
      <w:r>
        <w:rPr>
          <w:rFonts w:hint="eastAsia"/>
          <w:lang w:val="en-US" w:eastAsia="zh-CN"/>
        </w:rPr>
        <w:t>投入三</w:t>
      </w:r>
      <w:r>
        <w:t>个角度考察</w:t>
      </w:r>
      <w:r>
        <w:rPr>
          <w:rFonts w:hint="eastAsia"/>
          <w:lang w:val="en-US" w:eastAsia="zh-CN"/>
        </w:rPr>
        <w:t>立项依据充分性</w:t>
      </w:r>
      <w:r>
        <w:rPr>
          <w:rFonts w:hint="eastAsia"/>
          <w:lang w:eastAsia="zh-CN"/>
        </w:rPr>
        <w:t>、</w:t>
      </w:r>
      <w:r>
        <w:rPr>
          <w:rFonts w:hint="eastAsia"/>
          <w:lang w:val="en-US" w:eastAsia="zh-CN"/>
        </w:rPr>
        <w:t>立项程序规范性</w:t>
      </w:r>
      <w:r>
        <w:rPr>
          <w:rFonts w:hint="eastAsia"/>
          <w:lang w:eastAsia="zh-CN"/>
        </w:rPr>
        <w:t>、</w:t>
      </w:r>
      <w:r>
        <w:rPr>
          <w:rFonts w:hint="eastAsia"/>
        </w:rPr>
        <w:t>绩效目标合理性</w:t>
      </w:r>
      <w:r>
        <w:rPr>
          <w:rFonts w:hint="eastAsia"/>
          <w:lang w:eastAsia="zh-CN"/>
        </w:rPr>
        <w:t>、</w:t>
      </w:r>
      <w:r>
        <w:rPr>
          <w:rFonts w:hint="eastAsia"/>
        </w:rPr>
        <w:t>绩效目标明确性</w:t>
      </w:r>
      <w:r>
        <w:rPr>
          <w:rFonts w:hint="eastAsia"/>
          <w:lang w:eastAsia="zh-CN"/>
        </w:rPr>
        <w:t>、</w:t>
      </w:r>
      <w:r>
        <w:rPr>
          <w:rFonts w:hint="eastAsia"/>
        </w:rPr>
        <w:t>预算编制科学性</w:t>
      </w:r>
      <w:r>
        <w:rPr>
          <w:rFonts w:hint="eastAsia"/>
          <w:lang w:val="en-US" w:eastAsia="zh-CN"/>
        </w:rPr>
        <w:t>及</w:t>
      </w:r>
      <w:r>
        <w:rPr>
          <w:rFonts w:hint="eastAsia"/>
        </w:rPr>
        <w:t>资金分配合理性</w:t>
      </w:r>
      <w:r>
        <w:rPr>
          <w:rFonts w:hint="eastAsia"/>
          <w:lang w:eastAsia="zh-CN"/>
        </w:rPr>
        <w:t>；</w:t>
      </w:r>
      <w:r>
        <w:rPr>
          <w:rFonts w:hint="eastAsia"/>
        </w:rPr>
        <w:t>过程</w:t>
      </w:r>
      <w:r>
        <w:rPr>
          <w:rFonts w:hint="eastAsia"/>
          <w:lang w:val="en-US" w:eastAsia="zh-CN"/>
        </w:rPr>
        <w:t>类指标</w:t>
      </w:r>
      <w:r>
        <w:rPr>
          <w:rFonts w:hint="eastAsia"/>
        </w:rPr>
        <w:t>占权重分20分，</w:t>
      </w:r>
      <w:r>
        <w:rPr>
          <w:rFonts w:hint="eastAsia"/>
          <w:lang w:val="en-US" w:eastAsia="zh-CN"/>
        </w:rPr>
        <w:t>从组织实施</w:t>
      </w:r>
      <w:r>
        <w:rPr>
          <w:rFonts w:hint="eastAsia"/>
        </w:rPr>
        <w:t>、</w:t>
      </w:r>
      <w:r>
        <w:rPr>
          <w:rFonts w:hint="eastAsia"/>
          <w:lang w:val="en-US" w:eastAsia="zh-CN"/>
        </w:rPr>
        <w:t>资金</w:t>
      </w:r>
      <w:r>
        <w:rPr>
          <w:rFonts w:hint="eastAsia"/>
        </w:rPr>
        <w:t>管理两</w:t>
      </w:r>
      <w:r>
        <w:t>个角度考察</w:t>
      </w:r>
      <w:r>
        <w:rPr>
          <w:rFonts w:hint="eastAsia"/>
        </w:rPr>
        <w:t>管理制度健全性、</w:t>
      </w:r>
      <w:r>
        <w:rPr>
          <w:rFonts w:hint="eastAsia"/>
          <w:lang w:val="en-US" w:eastAsia="zh-CN"/>
        </w:rPr>
        <w:t>制度执行有效性</w:t>
      </w:r>
      <w:r>
        <w:rPr>
          <w:rFonts w:hint="eastAsia"/>
        </w:rPr>
        <w:t>、</w:t>
      </w:r>
      <w:r>
        <w:rPr>
          <w:rFonts w:hint="eastAsia"/>
          <w:lang w:val="en-US" w:eastAsia="zh-CN"/>
        </w:rPr>
        <w:t>建设方案完备性</w:t>
      </w:r>
      <w:r>
        <w:rPr>
          <w:rFonts w:hint="eastAsia"/>
        </w:rPr>
        <w:t>、</w:t>
      </w:r>
      <w:r>
        <w:rPr>
          <w:rFonts w:hint="eastAsia"/>
          <w:lang w:val="en-US" w:eastAsia="zh-CN"/>
        </w:rPr>
        <w:t>信息公开</w:t>
      </w:r>
      <w:r>
        <w:rPr>
          <w:rFonts w:hint="eastAsia"/>
        </w:rPr>
        <w:t>和</w:t>
      </w:r>
      <w:r>
        <w:rPr>
          <w:rFonts w:hint="eastAsia"/>
          <w:lang w:val="en-US" w:eastAsia="zh-CN"/>
        </w:rPr>
        <w:t>资金到位率</w:t>
      </w:r>
      <w:r>
        <w:rPr>
          <w:rFonts w:hint="eastAsia"/>
        </w:rPr>
        <w:t>、资金使用合规性等</w:t>
      </w:r>
      <w:r>
        <w:rPr>
          <w:rFonts w:hint="eastAsia"/>
          <w:lang w:eastAsia="zh-CN"/>
        </w:rPr>
        <w:t>；</w:t>
      </w:r>
      <w:r>
        <w:rPr>
          <w:rFonts w:hint="eastAsia"/>
        </w:rPr>
        <w:t>产出</w:t>
      </w:r>
      <w:r>
        <w:rPr>
          <w:rFonts w:hint="eastAsia"/>
          <w:lang w:val="en-US" w:eastAsia="zh-CN"/>
        </w:rPr>
        <w:t>类指标</w:t>
      </w:r>
      <w:r>
        <w:rPr>
          <w:rFonts w:hint="eastAsia"/>
        </w:rPr>
        <w:t>占权重分30分，从</w:t>
      </w:r>
      <w:r>
        <w:t>资金投入使用后的</w:t>
      </w:r>
      <w:r>
        <w:rPr>
          <w:rFonts w:hint="eastAsia"/>
          <w:lang w:val="en-US" w:eastAsia="zh-CN"/>
        </w:rPr>
        <w:t>产出数量、产出质量、产出时效三</w:t>
      </w:r>
      <w:r>
        <w:rPr>
          <w:rFonts w:hint="eastAsia"/>
        </w:rPr>
        <w:t>个角度来考察项目产出情况</w:t>
      </w:r>
      <w:r>
        <w:rPr>
          <w:rFonts w:hint="eastAsia"/>
          <w:lang w:eastAsia="zh-CN"/>
        </w:rPr>
        <w:t>；</w:t>
      </w:r>
      <w:r>
        <w:rPr>
          <w:rFonts w:hint="eastAsia"/>
        </w:rPr>
        <w:t>效益</w:t>
      </w:r>
      <w:r>
        <w:rPr>
          <w:rFonts w:hint="eastAsia"/>
          <w:lang w:val="en-US" w:eastAsia="zh-CN"/>
        </w:rPr>
        <w:t>类指标</w:t>
      </w:r>
      <w:r>
        <w:rPr>
          <w:rFonts w:hint="eastAsia"/>
        </w:rPr>
        <w:t>占权重分30分，从</w:t>
      </w:r>
      <w:r>
        <w:rPr>
          <w:rFonts w:hint="eastAsia"/>
          <w:lang w:val="en-US" w:eastAsia="zh-CN"/>
        </w:rPr>
        <w:t>经济</w:t>
      </w:r>
      <w:r>
        <w:rPr>
          <w:rFonts w:hint="eastAsia"/>
        </w:rPr>
        <w:t>效益、</w:t>
      </w:r>
      <w:r>
        <w:rPr>
          <w:rFonts w:hint="eastAsia"/>
          <w:lang w:val="en-US" w:eastAsia="zh-CN"/>
        </w:rPr>
        <w:t>社会效益、生态效益、</w:t>
      </w:r>
      <w:r>
        <w:rPr>
          <w:rFonts w:hint="eastAsia"/>
        </w:rPr>
        <w:t>可持续影响及满意度</w:t>
      </w:r>
      <w:r>
        <w:rPr>
          <w:rFonts w:hint="eastAsia"/>
          <w:lang w:val="en-US" w:eastAsia="zh-CN"/>
        </w:rPr>
        <w:t>五</w:t>
      </w:r>
      <w:r>
        <w:rPr>
          <w:rFonts w:hint="eastAsia"/>
        </w:rPr>
        <w:t>个方面来考察项目效益情况。</w:t>
      </w:r>
    </w:p>
    <w:p>
      <w:pPr>
        <w:pStyle w:val="5"/>
        <w:keepNext/>
        <w:keepLines/>
        <w:pageBreakBefore w:val="0"/>
        <w:widowControl w:val="0"/>
        <w:kinsoku/>
        <w:wordWrap/>
        <w:overflowPunct/>
        <w:topLinePunct w:val="0"/>
        <w:autoSpaceDE/>
        <w:autoSpaceDN/>
        <w:bidi w:val="0"/>
        <w:adjustRightInd/>
        <w:snapToGrid/>
        <w:textAlignment w:val="auto"/>
        <w:rPr>
          <w:rFonts w:hint="eastAsia"/>
          <w:lang w:val="en-US" w:eastAsia="zh-CN"/>
        </w:rPr>
      </w:pPr>
      <w:bookmarkStart w:id="26" w:name="_Toc18697"/>
      <w:r>
        <w:rPr>
          <w:rFonts w:hint="eastAsia"/>
          <w:lang w:val="en-US" w:eastAsia="zh-CN"/>
        </w:rPr>
        <w:t>（五）绩效评价工作过程</w:t>
      </w:r>
      <w:bookmarkEnd w:id="26"/>
    </w:p>
    <w:p>
      <w:pPr>
        <w:bidi w:val="0"/>
        <w:rPr>
          <w:rFonts w:hint="default"/>
          <w:lang w:val="en-US" w:eastAsia="zh-CN"/>
        </w:rPr>
      </w:pPr>
      <w:r>
        <w:rPr>
          <w:rFonts w:hint="eastAsia"/>
          <w:lang w:val="en-US" w:eastAsia="zh-CN"/>
        </w:rPr>
        <w:t>接收宁武县财政局</w:t>
      </w:r>
      <w:r>
        <w:rPr>
          <w:rFonts w:hint="default"/>
          <w:lang w:val="en-US" w:eastAsia="zh-CN"/>
        </w:rPr>
        <w:t>的委托</w:t>
      </w:r>
      <w:r>
        <w:rPr>
          <w:rFonts w:hint="eastAsia"/>
          <w:lang w:val="en-US" w:eastAsia="zh-CN"/>
        </w:rPr>
        <w:t>后</w:t>
      </w:r>
      <w:r>
        <w:rPr>
          <w:rFonts w:hint="default"/>
          <w:lang w:val="en-US" w:eastAsia="zh-CN"/>
        </w:rPr>
        <w:t>，我公司高度重视，积极筹备，成立项目领导组负责评价过程的协调和督导。</w:t>
      </w:r>
      <w:r>
        <w:rPr>
          <w:rFonts w:hint="eastAsia"/>
          <w:lang w:val="en-US" w:eastAsia="zh-CN"/>
        </w:rPr>
        <w:t>具体</w:t>
      </w:r>
      <w:r>
        <w:rPr>
          <w:rFonts w:hint="default"/>
          <w:lang w:val="en-US" w:eastAsia="zh-CN"/>
        </w:rPr>
        <w:t>工作分为</w:t>
      </w:r>
      <w:r>
        <w:rPr>
          <w:rFonts w:hint="eastAsia"/>
          <w:lang w:val="en-US" w:eastAsia="zh-CN"/>
        </w:rPr>
        <w:t>前期</w:t>
      </w:r>
      <w:r>
        <w:rPr>
          <w:rFonts w:hint="default"/>
          <w:lang w:val="en-US" w:eastAsia="zh-CN"/>
        </w:rPr>
        <w:t>准备、</w:t>
      </w:r>
      <w:r>
        <w:rPr>
          <w:rFonts w:hint="eastAsia"/>
          <w:lang w:val="en-US" w:eastAsia="zh-CN"/>
        </w:rPr>
        <w:t>现场</w:t>
      </w:r>
      <w:r>
        <w:rPr>
          <w:rFonts w:hint="default"/>
          <w:lang w:val="en-US" w:eastAsia="zh-CN"/>
        </w:rPr>
        <w:t>实施、报告撰写三个阶段。</w:t>
      </w:r>
    </w:p>
    <w:p>
      <w:pPr>
        <w:pStyle w:val="6"/>
        <w:bidi w:val="0"/>
        <w:rPr>
          <w:rFonts w:hint="default"/>
          <w:lang w:val="en-US" w:eastAsia="zh-CN"/>
        </w:rPr>
      </w:pPr>
      <w:r>
        <w:rPr>
          <w:rFonts w:hint="default"/>
          <w:lang w:val="en-US" w:eastAsia="zh-CN"/>
        </w:rPr>
        <w:t>1.评价准备阶段</w:t>
      </w:r>
    </w:p>
    <w:p>
      <w:pPr>
        <w:bidi w:val="0"/>
        <w:rPr>
          <w:rFonts w:hint="default"/>
          <w:lang w:val="en-US" w:eastAsia="zh-CN"/>
        </w:rPr>
      </w:pPr>
      <w:r>
        <w:rPr>
          <w:rFonts w:hint="default"/>
          <w:lang w:val="en-US" w:eastAsia="zh-CN"/>
        </w:rPr>
        <w:t>根据山西省《省级项目支出绩效评价管理办法》（晋财绩〔2020〕17号）文件精神总体要求，明确评价目的和工作思路，联系</w:t>
      </w:r>
      <w:r>
        <w:rPr>
          <w:rFonts w:hint="eastAsia"/>
          <w:lang w:val="en-US" w:eastAsia="zh-CN"/>
        </w:rPr>
        <w:t>东寨镇人民政府</w:t>
      </w:r>
      <w:r>
        <w:rPr>
          <w:rFonts w:hint="default"/>
          <w:lang w:val="en-US" w:eastAsia="zh-CN"/>
        </w:rPr>
        <w:t>开展调研，收集相关政策文件和信息资料，编制绩效评价指标体系、评分标准和评价等级。</w:t>
      </w:r>
    </w:p>
    <w:p>
      <w:pPr>
        <w:pStyle w:val="6"/>
        <w:bidi w:val="0"/>
        <w:rPr>
          <w:rFonts w:hint="default"/>
          <w:lang w:val="en-US" w:eastAsia="zh-CN"/>
        </w:rPr>
      </w:pPr>
      <w:r>
        <w:rPr>
          <w:rFonts w:hint="default"/>
          <w:lang w:val="en-US" w:eastAsia="zh-CN"/>
        </w:rPr>
        <w:t>2.组织实施阶段</w:t>
      </w:r>
    </w:p>
    <w:p>
      <w:pPr>
        <w:bidi w:val="0"/>
        <w:rPr>
          <w:rFonts w:hint="eastAsia"/>
          <w:lang w:val="en-US" w:eastAsia="zh-CN"/>
        </w:rPr>
      </w:pPr>
      <w:r>
        <w:rPr>
          <w:rFonts w:hint="default"/>
          <w:lang w:val="en-US" w:eastAsia="zh-CN"/>
        </w:rPr>
        <w:t>（1）</w:t>
      </w:r>
      <w:r>
        <w:rPr>
          <w:rFonts w:hint="eastAsia"/>
          <w:lang w:val="en-US" w:eastAsia="zh-CN"/>
        </w:rPr>
        <w:t>围绕评价指标补充</w:t>
      </w:r>
      <w:r>
        <w:rPr>
          <w:rFonts w:hint="default"/>
          <w:lang w:val="en-US" w:eastAsia="zh-CN"/>
        </w:rPr>
        <w:t>收集</w:t>
      </w:r>
      <w:r>
        <w:rPr>
          <w:rFonts w:hint="eastAsia"/>
          <w:lang w:val="en-US" w:eastAsia="zh-CN"/>
        </w:rPr>
        <w:t>相关</w:t>
      </w:r>
      <w:r>
        <w:rPr>
          <w:rFonts w:hint="default"/>
          <w:lang w:val="en-US" w:eastAsia="zh-CN"/>
        </w:rPr>
        <w:t>资料</w:t>
      </w:r>
      <w:r>
        <w:rPr>
          <w:rFonts w:hint="eastAsia"/>
          <w:lang w:val="en-US" w:eastAsia="zh-CN"/>
        </w:rPr>
        <w:t>；</w:t>
      </w:r>
    </w:p>
    <w:p>
      <w:pPr>
        <w:bidi w:val="0"/>
        <w:rPr>
          <w:rFonts w:hint="default"/>
          <w:lang w:val="en-US" w:eastAsia="zh-CN"/>
        </w:rPr>
      </w:pPr>
      <w:r>
        <w:rPr>
          <w:rFonts w:hint="default"/>
          <w:lang w:val="en-US" w:eastAsia="zh-CN"/>
        </w:rPr>
        <w:t>（2）现场勘查。根据评价对象的特点和项目单位提供的数据资料，现场勘查项目建设情况及运营情况。</w:t>
      </w:r>
    </w:p>
    <w:p>
      <w:pPr>
        <w:bidi w:val="0"/>
        <w:rPr>
          <w:rFonts w:hint="default"/>
          <w:lang w:val="en-US" w:eastAsia="zh-CN"/>
        </w:rPr>
      </w:pPr>
      <w:r>
        <w:rPr>
          <w:rFonts w:hint="eastAsia"/>
          <w:lang w:val="en-US" w:eastAsia="zh-CN"/>
        </w:rPr>
        <w:t>（3）满意度调查。向项目受益群体发放一定数量的满意度调查问卷，汇总受益群体对项目的意见及建议，形成满意度调查问卷分析。</w:t>
      </w:r>
    </w:p>
    <w:p>
      <w:pPr>
        <w:bidi w:val="0"/>
        <w:rPr>
          <w:rFonts w:hint="default"/>
          <w:lang w:val="en-US" w:eastAsia="zh-CN"/>
        </w:rPr>
      </w:pPr>
      <w:r>
        <w:rPr>
          <w:rFonts w:hint="default"/>
          <w:lang w:val="en-US" w:eastAsia="zh-CN"/>
        </w:rPr>
        <w:t>（</w:t>
      </w:r>
      <w:r>
        <w:rPr>
          <w:rFonts w:hint="eastAsia"/>
          <w:lang w:val="en-US" w:eastAsia="zh-CN"/>
        </w:rPr>
        <w:t>4</w:t>
      </w:r>
      <w:r>
        <w:rPr>
          <w:rFonts w:hint="default"/>
          <w:lang w:val="en-US" w:eastAsia="zh-CN"/>
        </w:rPr>
        <w:t>）综合评价。根据评价工作方案确定的评价指标、评价权重、评价标准和评价方法，对评价对象的情况进行全面的定量定性分析和综合评价。</w:t>
      </w:r>
    </w:p>
    <w:p>
      <w:pPr>
        <w:pStyle w:val="6"/>
        <w:bidi w:val="0"/>
        <w:rPr>
          <w:rFonts w:hint="default"/>
          <w:lang w:val="en-US" w:eastAsia="zh-CN"/>
        </w:rPr>
      </w:pPr>
      <w:r>
        <w:rPr>
          <w:rFonts w:hint="default"/>
          <w:lang w:val="en-US" w:eastAsia="zh-CN"/>
        </w:rPr>
        <w:t>3.报告撰写阶段</w:t>
      </w:r>
    </w:p>
    <w:p>
      <w:pPr>
        <w:bidi w:val="0"/>
        <w:rPr>
          <w:rFonts w:hint="eastAsia"/>
          <w:lang w:val="en-US" w:eastAsia="zh-CN"/>
        </w:rPr>
      </w:pPr>
      <w:r>
        <w:rPr>
          <w:rFonts w:hint="default"/>
          <w:lang w:val="en-US" w:eastAsia="zh-CN"/>
        </w:rPr>
        <w:t>绩效评价组根据被评价单位的绩效情况，按要求撰写评价报告，并根据专家意见进一步完善、修改绩效评价报告，形成</w:t>
      </w:r>
      <w:r>
        <w:rPr>
          <w:rFonts w:hint="eastAsia"/>
          <w:lang w:val="en-US" w:eastAsia="zh-CN"/>
        </w:rPr>
        <w:t>报告提交报送委托评价单位。</w:t>
      </w:r>
    </w:p>
    <w:p>
      <w:pPr>
        <w:pStyle w:val="4"/>
        <w:bidi w:val="0"/>
      </w:pPr>
      <w:bookmarkStart w:id="27" w:name="_Toc19768"/>
      <w:r>
        <w:rPr>
          <w:rFonts w:hint="eastAsia"/>
        </w:rPr>
        <w:t>三、综合评价情况及评价结论</w:t>
      </w:r>
      <w:bookmarkEnd w:id="25"/>
      <w:bookmarkEnd w:id="27"/>
    </w:p>
    <w:p>
      <w:pPr>
        <w:pStyle w:val="5"/>
        <w:ind w:firstLine="560"/>
        <w:rPr>
          <w:rFonts w:hint="default" w:eastAsia="楷体_GB2312"/>
          <w:highlight w:val="none"/>
          <w:lang w:val="en-US" w:eastAsia="zh-CN"/>
        </w:rPr>
      </w:pPr>
      <w:bookmarkStart w:id="28" w:name="_Toc9859"/>
      <w:bookmarkStart w:id="29" w:name="_Toc15619"/>
      <w:r>
        <w:rPr>
          <w:rFonts w:hint="eastAsia"/>
          <w:highlight w:val="none"/>
        </w:rPr>
        <w:t>（一）</w:t>
      </w:r>
      <w:bookmarkEnd w:id="28"/>
      <w:r>
        <w:rPr>
          <w:rFonts w:hint="eastAsia"/>
          <w:highlight w:val="none"/>
          <w:lang w:val="en-US" w:eastAsia="zh-CN"/>
        </w:rPr>
        <w:t>综合评价情况</w:t>
      </w:r>
      <w:bookmarkEnd w:id="29"/>
    </w:p>
    <w:p>
      <w:pPr>
        <w:bidi w:val="0"/>
      </w:pPr>
      <w:r>
        <w:rPr>
          <w:rFonts w:hint="eastAsia"/>
        </w:rPr>
        <w:t>本次评价以2020年12月31日为评价基准日，采用比较法、综合指数评价法进行绩效评价，对宁武县</w:t>
      </w:r>
      <w:r>
        <w:rPr>
          <w:rFonts w:hint="eastAsia"/>
          <w:lang w:val="en-US" w:eastAsia="zh-CN"/>
        </w:rPr>
        <w:t>东寨镇</w:t>
      </w:r>
      <w:r>
        <w:rPr>
          <w:rFonts w:hint="eastAsia"/>
        </w:rPr>
        <w:t>2020年财政统筹整合资金扶贫项目实施了现场核查、对比分析、指标评分、报告撰写等必要的评价程序，最终形成如下评价结果，详见表3-1，表3-2。</w:t>
      </w:r>
    </w:p>
    <w:p>
      <w:pPr>
        <w:bidi w:val="0"/>
      </w:pPr>
      <w:r>
        <w:rPr>
          <w:rFonts w:hint="eastAsia"/>
        </w:rPr>
        <w:t>宁武县</w:t>
      </w:r>
      <w:r>
        <w:rPr>
          <w:rFonts w:hint="eastAsia"/>
          <w:lang w:val="en-US" w:eastAsia="zh-CN"/>
        </w:rPr>
        <w:t>东寨镇</w:t>
      </w:r>
      <w:r>
        <w:rPr>
          <w:rFonts w:hint="eastAsia"/>
        </w:rPr>
        <w:t>2020年财政统筹整合资金扶贫项目绩效评价得分为</w:t>
      </w:r>
      <w:r>
        <w:rPr>
          <w:rFonts w:hint="eastAsia"/>
          <w:lang w:val="en-US" w:eastAsia="zh-CN"/>
        </w:rPr>
        <w:t>83.21</w:t>
      </w:r>
      <w:r>
        <w:rPr>
          <w:rFonts w:hint="eastAsia"/>
        </w:rPr>
        <w:t>分，评价等级为“</w:t>
      </w:r>
      <w:r>
        <w:rPr>
          <w:rFonts w:hint="eastAsia"/>
          <w:lang w:eastAsia="zh-CN"/>
        </w:rPr>
        <w:t>良</w:t>
      </w:r>
      <w:r>
        <w:rPr>
          <w:rFonts w:hint="eastAsia"/>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3"/>
        <w:rPr>
          <w:rFonts w:ascii="宋体" w:hAnsi="宋体" w:eastAsia="宋体" w:cstheme="majorBidi"/>
          <w:bCs/>
          <w:szCs w:val="28"/>
        </w:rPr>
      </w:pPr>
      <w:r>
        <w:rPr>
          <w:rFonts w:hint="eastAsia" w:ascii="宋体" w:hAnsi="宋体" w:eastAsia="宋体" w:cstheme="majorBidi"/>
          <w:bCs/>
          <w:szCs w:val="28"/>
        </w:rPr>
        <w:t>表3-1 项目总体绩效评价评分表</w:t>
      </w:r>
    </w:p>
    <w:tbl>
      <w:tblPr>
        <w:tblStyle w:val="13"/>
        <w:tblW w:w="8392"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098"/>
        <w:gridCol w:w="2098"/>
        <w:gridCol w:w="2098"/>
        <w:gridCol w:w="2098"/>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098" w:type="dxa"/>
            <w:tcBorders>
              <w:top w:val="double" w:color="auto" w:sz="4" w:space="0"/>
              <w:left w:val="nil"/>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一级指标</w:t>
            </w:r>
          </w:p>
        </w:tc>
        <w:tc>
          <w:tcPr>
            <w:tcW w:w="2098"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权重</w:t>
            </w:r>
          </w:p>
        </w:tc>
        <w:tc>
          <w:tcPr>
            <w:tcW w:w="2098"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w:t>
            </w:r>
          </w:p>
        </w:tc>
        <w:tc>
          <w:tcPr>
            <w:tcW w:w="2098" w:type="dxa"/>
            <w:tcBorders>
              <w:top w:val="double" w:color="auto" w:sz="4" w:space="0"/>
              <w:right w:val="nil"/>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决策</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20</w:t>
            </w:r>
          </w:p>
        </w:tc>
        <w:tc>
          <w:tcPr>
            <w:tcW w:w="2098" w:type="dxa"/>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16.74</w:t>
            </w:r>
          </w:p>
        </w:tc>
        <w:tc>
          <w:tcPr>
            <w:tcW w:w="2098" w:type="dxa"/>
            <w:tcBorders>
              <w:right w:val="nil"/>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83.70%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过程</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20</w:t>
            </w:r>
          </w:p>
        </w:tc>
        <w:tc>
          <w:tcPr>
            <w:tcW w:w="2098" w:type="dxa"/>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16.68</w:t>
            </w:r>
          </w:p>
        </w:tc>
        <w:tc>
          <w:tcPr>
            <w:tcW w:w="2098" w:type="dxa"/>
            <w:tcBorders>
              <w:right w:val="nil"/>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83.40%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产出</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098" w:type="dxa"/>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25.79</w:t>
            </w:r>
          </w:p>
        </w:tc>
        <w:tc>
          <w:tcPr>
            <w:tcW w:w="2098" w:type="dxa"/>
            <w:tcBorders>
              <w:right w:val="nil"/>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85.97%</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效益</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098" w:type="dxa"/>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24</w:t>
            </w:r>
          </w:p>
        </w:tc>
        <w:tc>
          <w:tcPr>
            <w:tcW w:w="2098" w:type="dxa"/>
            <w:tcBorders>
              <w:right w:val="nil"/>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80%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合计</w:t>
            </w:r>
          </w:p>
        </w:tc>
        <w:tc>
          <w:tcPr>
            <w:tcW w:w="2098" w:type="dxa"/>
            <w:tcBorders>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100</w:t>
            </w:r>
          </w:p>
        </w:tc>
        <w:tc>
          <w:tcPr>
            <w:tcW w:w="2098" w:type="dxa"/>
            <w:tcBorders>
              <w:bottom w:val="double" w:color="auto" w:sz="4" w:space="0"/>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83.21</w:t>
            </w:r>
          </w:p>
        </w:tc>
        <w:tc>
          <w:tcPr>
            <w:tcW w:w="2098" w:type="dxa"/>
            <w:tcBorders>
              <w:bottom w:val="double" w:color="auto" w:sz="4" w:space="0"/>
              <w:right w:val="nil"/>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83.21%</w:t>
            </w:r>
          </w:p>
        </w:tc>
      </w:tr>
    </w:tbl>
    <w:p>
      <w:pPr>
        <w:spacing w:before="312" w:beforeLines="100"/>
        <w:ind w:firstLine="0" w:firstLineChars="0"/>
        <w:jc w:val="center"/>
        <w:outlineLvl w:val="3"/>
        <w:rPr>
          <w:rFonts w:ascii="宋体" w:hAnsi="宋体" w:eastAsia="宋体" w:cstheme="majorBidi"/>
          <w:bCs/>
          <w:szCs w:val="28"/>
        </w:rPr>
      </w:pPr>
      <w:r>
        <w:rPr>
          <w:rFonts w:hint="eastAsia" w:ascii="宋体" w:hAnsi="宋体" w:eastAsia="宋体" w:cstheme="majorBidi"/>
          <w:bCs/>
          <w:szCs w:val="28"/>
        </w:rPr>
        <w:t>表3-2 各项目评价结果</w:t>
      </w:r>
    </w:p>
    <w:tbl>
      <w:tblPr>
        <w:tblStyle w:val="13"/>
        <w:tblW w:w="8480" w:type="dxa"/>
        <w:jc w:val="center"/>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Layout w:type="fixed"/>
        <w:tblCellMar>
          <w:top w:w="15" w:type="dxa"/>
          <w:left w:w="15" w:type="dxa"/>
          <w:bottom w:w="15" w:type="dxa"/>
          <w:right w:w="15" w:type="dxa"/>
        </w:tblCellMar>
      </w:tblPr>
      <w:tblGrid>
        <w:gridCol w:w="1549"/>
        <w:gridCol w:w="2701"/>
        <w:gridCol w:w="2088"/>
        <w:gridCol w:w="2142"/>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15" w:type="dxa"/>
            <w:left w:w="15" w:type="dxa"/>
            <w:bottom w:w="15" w:type="dxa"/>
            <w:right w:w="15" w:type="dxa"/>
          </w:tblCellMar>
        </w:tblPrEx>
        <w:trPr>
          <w:trHeight w:val="510" w:hRule="atLeast"/>
          <w:tblHeader/>
          <w:jc w:val="center"/>
        </w:trPr>
        <w:tc>
          <w:tcPr>
            <w:tcW w:w="1549" w:type="dxa"/>
            <w:tcBorders>
              <w:tl2br w:val="nil"/>
              <w:tr2bl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排序</w:t>
            </w:r>
          </w:p>
        </w:tc>
        <w:tc>
          <w:tcPr>
            <w:tcW w:w="2701" w:type="dxa"/>
            <w:tcBorders>
              <w:tl2br w:val="nil"/>
              <w:tr2bl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项目名称</w:t>
            </w:r>
          </w:p>
        </w:tc>
        <w:tc>
          <w:tcPr>
            <w:tcW w:w="2088" w:type="dxa"/>
            <w:tcBorders>
              <w:tl2br w:val="nil"/>
              <w:tr2bl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w:t>
            </w:r>
          </w:p>
        </w:tc>
        <w:tc>
          <w:tcPr>
            <w:tcW w:w="2142" w:type="dxa"/>
            <w:tcBorders>
              <w:tl2br w:val="nil"/>
              <w:tr2bl w:val="nil"/>
            </w:tcBorders>
            <w:shd w:val="clear" w:color="auto" w:fill="BEBEBE"/>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评价等级</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15" w:type="dxa"/>
            <w:left w:w="15" w:type="dxa"/>
            <w:bottom w:w="15" w:type="dxa"/>
            <w:right w:w="15" w:type="dxa"/>
          </w:tblCellMar>
        </w:tblPrEx>
        <w:trPr>
          <w:trHeight w:val="510" w:hRule="atLeast"/>
          <w:jc w:val="center"/>
        </w:trPr>
        <w:tc>
          <w:tcPr>
            <w:tcW w:w="1549" w:type="dxa"/>
            <w:tcBorders>
              <w:tl2br w:val="nil"/>
              <w:tr2bl w:val="nil"/>
            </w:tcBorders>
            <w:vAlign w:val="center"/>
          </w:tcPr>
          <w:p>
            <w:pPr>
              <w:spacing w:line="240" w:lineRule="auto"/>
              <w:ind w:firstLine="0" w:firstLineChars="0"/>
              <w:jc w:val="center"/>
              <w:rPr>
                <w:rFonts w:ascii="宋体" w:hAnsi="宋体" w:eastAsia="宋体" w:cs="Times New Roman"/>
                <w:sz w:val="24"/>
              </w:rPr>
            </w:pPr>
            <w:bookmarkStart w:id="30" w:name="_Hlk78121818"/>
            <w:r>
              <w:rPr>
                <w:rFonts w:hint="eastAsia" w:ascii="宋体" w:hAnsi="宋体" w:eastAsia="宋体" w:cs="Times New Roman"/>
                <w:sz w:val="24"/>
              </w:rPr>
              <w:t>1</w:t>
            </w:r>
          </w:p>
        </w:tc>
        <w:tc>
          <w:tcPr>
            <w:tcW w:w="2701"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Times New Roman"/>
                <w:sz w:val="24"/>
                <w:lang w:val="en-US"/>
              </w:rPr>
            </w:pPr>
            <w:r>
              <w:rPr>
                <w:rFonts w:hint="eastAsia" w:ascii="宋体" w:hAnsi="宋体" w:eastAsia="宋体" w:cs="Times New Roman"/>
                <w:sz w:val="24"/>
                <w:lang w:val="en-US" w:eastAsia="zh-CN"/>
              </w:rPr>
              <w:t>宁武县东寨镇食用菌种植项目</w:t>
            </w:r>
          </w:p>
        </w:tc>
        <w:tc>
          <w:tcPr>
            <w:tcW w:w="2088" w:type="dxa"/>
            <w:tcBorders>
              <w:tl2br w:val="nil"/>
              <w:tr2bl w:val="nil"/>
            </w:tcBorders>
            <w:vAlign w:val="center"/>
          </w:tcPr>
          <w:p>
            <w:pPr>
              <w:spacing w:line="240" w:lineRule="auto"/>
              <w:ind w:firstLine="0" w:firstLineChars="0"/>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75</w:t>
            </w:r>
          </w:p>
        </w:tc>
        <w:tc>
          <w:tcPr>
            <w:tcW w:w="2142" w:type="dxa"/>
            <w:tcBorders>
              <w:tl2br w:val="nil"/>
              <w:tr2bl w:val="nil"/>
            </w:tcBorders>
            <w:vAlign w:val="center"/>
          </w:tcPr>
          <w:p>
            <w:pPr>
              <w:spacing w:line="240" w:lineRule="auto"/>
              <w:ind w:firstLine="0" w:firstLineChars="0"/>
              <w:jc w:val="center"/>
              <w:rPr>
                <w:rFonts w:hint="eastAsia" w:ascii="宋体" w:hAnsi="宋体" w:eastAsia="宋体" w:cs="Times New Roman"/>
                <w:sz w:val="24"/>
                <w:lang w:eastAsia="zh-CN"/>
              </w:rPr>
            </w:pPr>
            <w:r>
              <w:rPr>
                <w:rFonts w:hint="eastAsia" w:ascii="宋体" w:hAnsi="宋体" w:eastAsia="宋体" w:cs="Times New Roman"/>
                <w:sz w:val="24"/>
                <w:lang w:val="en-US" w:eastAsia="zh-CN"/>
              </w:rPr>
              <w:t>中</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15" w:type="dxa"/>
            <w:left w:w="15" w:type="dxa"/>
            <w:bottom w:w="15" w:type="dxa"/>
            <w:right w:w="15" w:type="dxa"/>
          </w:tblCellMar>
        </w:tblPrEx>
        <w:trPr>
          <w:trHeight w:val="510" w:hRule="atLeast"/>
          <w:jc w:val="center"/>
        </w:trPr>
        <w:tc>
          <w:tcPr>
            <w:tcW w:w="1549" w:type="dxa"/>
            <w:tcBorders>
              <w:tl2br w:val="nil"/>
              <w:tr2bl w:val="nil"/>
            </w:tcBorders>
            <w:vAlign w:val="center"/>
          </w:tcPr>
          <w:p>
            <w:pPr>
              <w:spacing w:line="240" w:lineRule="auto"/>
              <w:ind w:firstLine="0" w:firstLineChars="0"/>
              <w:jc w:val="center"/>
              <w:rPr>
                <w:rFonts w:ascii="宋体" w:hAnsi="宋体" w:eastAsia="宋体" w:cs="Times New Roman"/>
                <w:sz w:val="24"/>
              </w:rPr>
            </w:pPr>
            <w:r>
              <w:rPr>
                <w:rFonts w:hint="eastAsia" w:ascii="宋体" w:hAnsi="宋体" w:eastAsia="宋体" w:cs="Times New Roman"/>
                <w:sz w:val="24"/>
              </w:rPr>
              <w:t>2</w:t>
            </w:r>
          </w:p>
        </w:tc>
        <w:tc>
          <w:tcPr>
            <w:tcW w:w="2701" w:type="dxa"/>
            <w:tcBorders>
              <w:tl2br w:val="nil"/>
              <w:tr2bl w:val="nil"/>
            </w:tcBorders>
            <w:vAlign w:val="center"/>
          </w:tcPr>
          <w:p>
            <w:pPr>
              <w:widowControl/>
              <w:spacing w:line="240" w:lineRule="auto"/>
              <w:ind w:firstLine="0" w:firstLineChars="0"/>
              <w:jc w:val="center"/>
              <w:textAlignment w:val="center"/>
              <w:rPr>
                <w:rFonts w:hint="default" w:ascii="宋体" w:hAnsi="宋体" w:eastAsia="宋体" w:cs="Times New Roman"/>
                <w:sz w:val="24"/>
                <w:lang w:val="en-US"/>
              </w:rPr>
            </w:pPr>
            <w:r>
              <w:rPr>
                <w:rFonts w:hint="eastAsia" w:ascii="宋体" w:hAnsi="宋体" w:eastAsia="宋体" w:cs="Times New Roman"/>
                <w:sz w:val="24"/>
                <w:lang w:val="en-US" w:eastAsia="zh-CN"/>
              </w:rPr>
              <w:t>宁武县东寨镇二马营村食用菌大棚建设项目</w:t>
            </w:r>
          </w:p>
        </w:tc>
        <w:tc>
          <w:tcPr>
            <w:tcW w:w="2088" w:type="dxa"/>
            <w:tcBorders>
              <w:tl2br w:val="nil"/>
              <w:tr2bl w:val="nil"/>
            </w:tcBorders>
            <w:vAlign w:val="center"/>
          </w:tcPr>
          <w:p>
            <w:pPr>
              <w:spacing w:line="240" w:lineRule="auto"/>
              <w:ind w:firstLine="0" w:firstLineChars="0"/>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87</w:t>
            </w:r>
          </w:p>
        </w:tc>
        <w:tc>
          <w:tcPr>
            <w:tcW w:w="2142" w:type="dxa"/>
            <w:tcBorders>
              <w:tl2br w:val="nil"/>
              <w:tr2bl w:val="nil"/>
            </w:tcBorders>
            <w:vAlign w:val="center"/>
          </w:tcPr>
          <w:p>
            <w:pPr>
              <w:spacing w:line="240" w:lineRule="auto"/>
              <w:ind w:firstLine="0" w:firstLineChars="0"/>
              <w:jc w:val="center"/>
              <w:rPr>
                <w:rFonts w:hint="eastAsia" w:ascii="宋体" w:hAnsi="宋体" w:eastAsia="宋体" w:cs="Times New Roman"/>
                <w:sz w:val="24"/>
                <w:lang w:eastAsia="zh-CN"/>
              </w:rPr>
            </w:pPr>
            <w:r>
              <w:rPr>
                <w:rFonts w:hint="eastAsia" w:ascii="宋体" w:hAnsi="宋体" w:eastAsia="宋体" w:cs="Times New Roman"/>
                <w:sz w:val="24"/>
                <w:lang w:val="en-US" w:eastAsia="zh-CN"/>
              </w:rPr>
              <w:t>良</w:t>
            </w:r>
          </w:p>
        </w:tc>
      </w:tr>
      <w:bookmarkEnd w:id="30"/>
    </w:tbl>
    <w:p>
      <w:pPr>
        <w:pStyle w:val="5"/>
        <w:keepNext/>
        <w:keepLines/>
        <w:pageBreakBefore w:val="0"/>
        <w:widowControl w:val="0"/>
        <w:kinsoku/>
        <w:wordWrap/>
        <w:overflowPunct/>
        <w:topLinePunct w:val="0"/>
        <w:autoSpaceDE/>
        <w:autoSpaceDN/>
        <w:bidi w:val="0"/>
        <w:adjustRightInd/>
        <w:snapToGrid/>
        <w:spacing w:before="157" w:beforeLines="50"/>
        <w:textAlignment w:val="auto"/>
      </w:pPr>
      <w:bookmarkStart w:id="31" w:name="_Toc28129"/>
      <w:bookmarkStart w:id="32" w:name="_Toc26697"/>
      <w:r>
        <w:rPr>
          <w:rFonts w:hint="eastAsia"/>
        </w:rPr>
        <w:t>（二）评价结论</w:t>
      </w:r>
      <w:bookmarkEnd w:id="31"/>
      <w:bookmarkEnd w:id="32"/>
    </w:p>
    <w:p>
      <w:pPr>
        <w:bidi w:val="0"/>
        <w:rPr>
          <w:rFonts w:hint="default" w:hAnsiTheme="minorHAnsi"/>
          <w:lang w:val="en-US" w:eastAsia="zh-CN"/>
        </w:rPr>
      </w:pPr>
      <w:r>
        <w:rPr>
          <w:rFonts w:hint="eastAsia" w:hAnsiTheme="minorHAnsi"/>
          <w:lang w:val="en-US" w:eastAsia="zh-CN"/>
        </w:rPr>
        <w:t>宁武县东寨镇食用菌种植项目按照《宁武脱贫攻坚总指挥部会议纪要（第十四期）》进行实施，宁武县东寨镇二马营村食用菌大棚建设项目根据《宁武县委常委会议纪要》（第二期）进行项目立项；宁武县东寨镇二马营村食用菌大棚建设项目验收报告内容完整，工程全部合格，按照合同规定工期进行施工，开完工及时；宁武县东寨镇人民政府2020年统筹整合财政资金</w:t>
      </w:r>
      <w:r>
        <w:rPr>
          <w:rFonts w:hint="eastAsia"/>
        </w:rPr>
        <w:t>项目有效带动农民增收，达到项目预期目标；</w:t>
      </w:r>
      <w:r>
        <w:rPr>
          <w:rFonts w:hint="eastAsia"/>
          <w:lang w:val="en-US" w:eastAsia="zh-CN"/>
        </w:rPr>
        <w:t>一定程度上推动了农业产业结构调整的发展进度</w:t>
      </w:r>
      <w:r>
        <w:rPr>
          <w:rFonts w:hint="eastAsia"/>
        </w:rPr>
        <w:t>；</w:t>
      </w:r>
      <w:r>
        <w:rPr>
          <w:rFonts w:hint="eastAsia"/>
          <w:lang w:val="en-US" w:eastAsia="zh-CN"/>
        </w:rPr>
        <w:t>农户就业渠道有所增加</w:t>
      </w:r>
      <w:r>
        <w:rPr>
          <w:rFonts w:hint="eastAsia"/>
        </w:rPr>
        <w:t>；</w:t>
      </w:r>
      <w:r>
        <w:rPr>
          <w:rFonts w:hint="eastAsia"/>
          <w:lang w:val="en-US" w:eastAsia="zh-CN"/>
        </w:rPr>
        <w:t>食用菌菌棒残渣进行处理</w:t>
      </w:r>
      <w:r>
        <w:rPr>
          <w:rFonts w:hint="eastAsia"/>
        </w:rPr>
        <w:t>；</w:t>
      </w:r>
      <w:r>
        <w:rPr>
          <w:rFonts w:hint="eastAsia"/>
          <w:lang w:val="en-US" w:eastAsia="zh-CN"/>
        </w:rPr>
        <w:t>宁武县东寨镇食用菌种植</w:t>
      </w:r>
      <w:r>
        <w:t>项目</w:t>
      </w:r>
      <w:r>
        <w:rPr>
          <w:rFonts w:hint="eastAsia"/>
          <w:lang w:val="en-US" w:eastAsia="zh-CN"/>
        </w:rPr>
        <w:t>20座大棚已租出，</w:t>
      </w:r>
      <w:r>
        <w:rPr>
          <w:rFonts w:hint="eastAsia"/>
          <w:lang w:eastAsia="zh-CN"/>
        </w:rPr>
        <w:t>宁武县东寨镇二马营村食用菌大棚建设</w:t>
      </w:r>
      <w:r>
        <w:rPr>
          <w:rFonts w:hint="eastAsia"/>
          <w:lang w:val="en-US" w:eastAsia="zh-CN"/>
        </w:rPr>
        <w:t>项目处于试运行阶段，于2021年7月5日租出，且两个项目均已移交二马营村委会管理；</w:t>
      </w:r>
      <w:r>
        <w:rPr>
          <w:rFonts w:hint="eastAsia"/>
        </w:rPr>
        <w:t>受益群众满意度</w:t>
      </w:r>
      <w:r>
        <w:rPr>
          <w:rFonts w:hint="eastAsia"/>
          <w:lang w:val="en-US" w:eastAsia="zh-CN"/>
        </w:rPr>
        <w:t>达到90%以上</w:t>
      </w:r>
      <w:r>
        <w:rPr>
          <w:rFonts w:hint="eastAsia"/>
        </w:rPr>
        <w:t>。</w:t>
      </w:r>
    </w:p>
    <w:p>
      <w:pPr>
        <w:bidi w:val="0"/>
        <w:rPr>
          <w:rFonts w:hint="eastAsia" w:eastAsia="仿宋_GB2312"/>
          <w:lang w:eastAsia="zh-CN"/>
        </w:rPr>
      </w:pPr>
      <w:r>
        <w:rPr>
          <w:rFonts w:hint="eastAsia"/>
          <w:lang w:val="en-US" w:eastAsia="zh-CN"/>
        </w:rPr>
        <w:t>但宁武县东寨镇食用菌种植</w:t>
      </w:r>
      <w:r>
        <w:t>项目</w:t>
      </w:r>
      <w:r>
        <w:rPr>
          <w:rFonts w:hint="eastAsia"/>
          <w:lang w:val="en-US" w:eastAsia="zh-CN"/>
        </w:rPr>
        <w:t>验收资料内容不完整，未能比较工程量；宁武县东寨镇食用菌种植</w:t>
      </w:r>
      <w:r>
        <w:t>项目</w:t>
      </w:r>
      <w:r>
        <w:rPr>
          <w:rFonts w:hint="eastAsia"/>
          <w:lang w:val="en-US" w:eastAsia="zh-CN"/>
        </w:rPr>
        <w:t>工期不一致，</w:t>
      </w:r>
      <w:r>
        <w:t>项目质量</w:t>
      </w:r>
      <w:r>
        <w:rPr>
          <w:rFonts w:hint="eastAsia"/>
        </w:rPr>
        <w:t>基本</w:t>
      </w:r>
      <w:r>
        <w:t>达标</w:t>
      </w:r>
      <w:r>
        <w:rPr>
          <w:rFonts w:hint="eastAsia"/>
        </w:rPr>
        <w:t>，</w:t>
      </w:r>
      <w:r>
        <w:rPr>
          <w:rFonts w:hint="eastAsia"/>
          <w:lang w:val="en-US" w:eastAsia="zh-CN"/>
        </w:rPr>
        <w:t>但</w:t>
      </w:r>
      <w:r>
        <w:rPr>
          <w:rFonts w:hint="eastAsia"/>
        </w:rPr>
        <w:t>项目</w:t>
      </w:r>
      <w:r>
        <w:rPr>
          <w:rFonts w:hint="eastAsia"/>
          <w:lang w:val="en-US" w:eastAsia="zh-CN"/>
        </w:rPr>
        <w:t>验收资料不全</w:t>
      </w:r>
      <w:r>
        <w:rPr>
          <w:rFonts w:hint="eastAsia"/>
          <w:lang w:eastAsia="zh-CN"/>
        </w:rPr>
        <w:t>；</w:t>
      </w:r>
      <w:r>
        <w:rPr>
          <w:rFonts w:hint="eastAsia"/>
          <w:lang w:val="en-US" w:eastAsia="zh-CN"/>
        </w:rPr>
        <w:t>二马营村及乡政府在大棚租出后，就已不对其进行后续管理</w:t>
      </w:r>
      <w:r>
        <w:rPr>
          <w:rFonts w:hint="eastAsia"/>
          <w:lang w:eastAsia="zh-CN"/>
        </w:rPr>
        <w:t>。</w:t>
      </w:r>
    </w:p>
    <w:p>
      <w:pPr>
        <w:pStyle w:val="4"/>
        <w:ind w:firstLine="560"/>
        <w:rPr>
          <w:rFonts w:hint="eastAsia"/>
        </w:rPr>
      </w:pPr>
      <w:bookmarkStart w:id="33" w:name="_Toc10078"/>
      <w:bookmarkStart w:id="34" w:name="_Toc7587"/>
      <w:r>
        <w:rPr>
          <w:rFonts w:hint="eastAsia"/>
          <w:lang w:val="en-US" w:eastAsia="zh-CN"/>
        </w:rPr>
        <w:t>四</w:t>
      </w:r>
      <w:r>
        <w:rPr>
          <w:rFonts w:hint="eastAsia"/>
        </w:rPr>
        <w:t>、存在的问题</w:t>
      </w:r>
      <w:bookmarkEnd w:id="33"/>
      <w:bookmarkEnd w:id="34"/>
    </w:p>
    <w:p>
      <w:pPr>
        <w:pStyle w:val="5"/>
        <w:bidi w:val="0"/>
        <w:rPr>
          <w:rFonts w:hint="eastAsia"/>
          <w:lang w:val="en-US" w:eastAsia="zh-CN"/>
        </w:rPr>
      </w:pPr>
      <w:bookmarkStart w:id="35" w:name="_Toc6364"/>
      <w:bookmarkStart w:id="36" w:name="_Toc16185"/>
      <w:bookmarkStart w:id="37" w:name="_Toc14879"/>
      <w:r>
        <w:rPr>
          <w:rFonts w:hint="eastAsia"/>
          <w:lang w:val="en-US" w:eastAsia="zh-CN"/>
        </w:rPr>
        <w:t>（一）资料不完善，验收时间不一致</w:t>
      </w:r>
      <w:bookmarkEnd w:id="35"/>
      <w:bookmarkEnd w:id="36"/>
    </w:p>
    <w:p>
      <w:pPr>
        <w:bidi w:val="0"/>
        <w:rPr>
          <w:rFonts w:hint="default"/>
          <w:lang w:val="en-US" w:eastAsia="zh-CN"/>
        </w:rPr>
      </w:pPr>
      <w:r>
        <w:rPr>
          <w:rFonts w:hint="eastAsia"/>
          <w:lang w:val="en-US" w:eastAsia="zh-CN"/>
        </w:rPr>
        <w:t>一是在对宁武县东寨镇食用菌种植项目进行资料核查过程中，竣工报告中实际开竣工时间为</w:t>
      </w:r>
      <w:r>
        <w:rPr>
          <w:rFonts w:hint="eastAsia" w:hAnsiTheme="minorHAnsi"/>
          <w:lang w:val="en-US" w:eastAsia="zh-CN"/>
        </w:rPr>
        <w:t>2019年6月15日-2019年6月30日</w:t>
      </w:r>
      <w:r>
        <w:rPr>
          <w:rFonts w:hint="eastAsia"/>
          <w:lang w:val="en-US" w:eastAsia="zh-CN"/>
        </w:rPr>
        <w:t>，但其竣工验收证明书及其审核报告中的开竣工时间均为</w:t>
      </w:r>
      <w:r>
        <w:rPr>
          <w:rFonts w:hint="eastAsia"/>
        </w:rPr>
        <w:t>2019</w:t>
      </w:r>
      <w:r>
        <w:rPr>
          <w:rFonts w:hint="eastAsia"/>
          <w:lang w:val="en-US" w:eastAsia="zh-CN"/>
        </w:rPr>
        <w:t>年</w:t>
      </w:r>
      <w:r>
        <w:rPr>
          <w:rFonts w:hint="eastAsia"/>
        </w:rPr>
        <w:t>6</w:t>
      </w:r>
      <w:r>
        <w:rPr>
          <w:rFonts w:hint="eastAsia"/>
          <w:lang w:val="en-US" w:eastAsia="zh-CN"/>
        </w:rPr>
        <w:t>月</w:t>
      </w:r>
      <w:r>
        <w:rPr>
          <w:rFonts w:hint="eastAsia"/>
        </w:rPr>
        <w:t>20</w:t>
      </w:r>
      <w:r>
        <w:rPr>
          <w:rFonts w:hint="eastAsia"/>
          <w:lang w:val="en-US" w:eastAsia="zh-CN"/>
        </w:rPr>
        <w:t>日</w:t>
      </w:r>
      <w:r>
        <w:rPr>
          <w:rFonts w:hint="eastAsia"/>
        </w:rPr>
        <w:t>-2019</w:t>
      </w:r>
      <w:r>
        <w:rPr>
          <w:rFonts w:hint="eastAsia"/>
          <w:lang w:val="en-US" w:eastAsia="zh-CN"/>
        </w:rPr>
        <w:t>年</w:t>
      </w:r>
      <w:r>
        <w:rPr>
          <w:rFonts w:hint="eastAsia"/>
        </w:rPr>
        <w:t>7</w:t>
      </w:r>
      <w:r>
        <w:rPr>
          <w:rFonts w:hint="eastAsia"/>
          <w:lang w:val="en-US" w:eastAsia="zh-CN"/>
        </w:rPr>
        <w:t>月</w:t>
      </w:r>
      <w:r>
        <w:rPr>
          <w:rFonts w:hint="eastAsia"/>
        </w:rPr>
        <w:t>20</w:t>
      </w:r>
      <w:r>
        <w:rPr>
          <w:rFonts w:hint="eastAsia"/>
          <w:lang w:val="en-US" w:eastAsia="zh-CN"/>
        </w:rPr>
        <w:t>日，两者时间不一致。二是宁武县东寨镇食用菌种植项目评价过程中，存在两份竣工报告，且两份竣工报告内容不一致，均不完整。</w:t>
      </w:r>
    </w:p>
    <w:p>
      <w:pPr>
        <w:pStyle w:val="5"/>
        <w:bidi w:val="0"/>
        <w:rPr>
          <w:rFonts w:hint="eastAsia"/>
          <w:lang w:val="en-US" w:eastAsia="zh-CN"/>
        </w:rPr>
      </w:pPr>
      <w:bookmarkStart w:id="38" w:name="_Toc8498"/>
      <w:r>
        <w:rPr>
          <w:rFonts w:hint="eastAsia"/>
          <w:lang w:val="en-US" w:eastAsia="zh-CN"/>
        </w:rPr>
        <w:t>（二）合同条款不全面，未按合同约定支付</w:t>
      </w:r>
      <w:bookmarkEnd w:id="38"/>
    </w:p>
    <w:p>
      <w:pPr>
        <w:bidi w:val="0"/>
        <w:rPr>
          <w:rFonts w:hint="eastAsia"/>
          <w:lang w:val="en-US" w:eastAsia="zh-CN"/>
        </w:rPr>
      </w:pPr>
      <w:r>
        <w:rPr>
          <w:rFonts w:hint="eastAsia"/>
          <w:lang w:val="en-US" w:eastAsia="zh-CN"/>
        </w:rPr>
        <w:t>一是对宁武县东寨镇食用菌种植项目进行绩效评价过程中，宁武县东寨镇人民政府未提供宁武县东寨镇食用菌种植项目施工合同中的专用条款，无法对施工过程中产生的工程变更、工程延期以及工程结算方式等进行评价；二是宁武县东寨镇二马营村食用菌大棚建设项目施工合同中规定：施工合同签订后五个工作日内，甲方支付乙方合同金额的40%，竣工验收合格后30天内发包人支付合同价款的40%作为进度款；结算审计完，付至结算金额的95%，承包人同意剩余的5%的工程结算价款作为承包人在本合同项下的工程质保金。在评价时，项目正处于验收结算阶段，但项目金额已支付至合同金额59.01%，未按合同约定支付。</w:t>
      </w:r>
    </w:p>
    <w:p>
      <w:pPr>
        <w:pStyle w:val="5"/>
        <w:bidi w:val="0"/>
        <w:rPr>
          <w:rFonts w:hint="eastAsia"/>
          <w:lang w:val="en-US" w:eastAsia="zh-CN"/>
        </w:rPr>
      </w:pPr>
      <w:bookmarkStart w:id="39" w:name="_Toc15393"/>
      <w:r>
        <w:rPr>
          <w:rFonts w:hint="eastAsia"/>
          <w:lang w:val="en-US" w:eastAsia="zh-CN"/>
        </w:rPr>
        <w:t>（三）项目长远效益不理想</w:t>
      </w:r>
      <w:bookmarkEnd w:id="39"/>
    </w:p>
    <w:p>
      <w:pPr>
        <w:bidi w:val="0"/>
        <w:rPr>
          <w:rFonts w:hint="eastAsia"/>
        </w:rPr>
      </w:pPr>
      <w:r>
        <w:rPr>
          <w:rFonts w:hint="eastAsia"/>
          <w:lang w:val="en-US" w:eastAsia="zh-CN"/>
        </w:rPr>
        <w:t>宁武县东寨镇食用菌种植项目已将20座大棚承包给宁武县瑞鑫宇农产品加工专业合作社</w:t>
      </w:r>
      <w:r>
        <w:rPr>
          <w:rFonts w:hint="eastAsia"/>
        </w:rPr>
        <w:t>，</w:t>
      </w:r>
      <w:r>
        <w:rPr>
          <w:rFonts w:hint="eastAsia"/>
          <w:lang w:val="en-US" w:eastAsia="zh-CN"/>
        </w:rPr>
        <w:t>按照每年每栋大棚5,000元，全年年承包费为10万元</w:t>
      </w:r>
      <w:r>
        <w:rPr>
          <w:rFonts w:hint="eastAsia"/>
        </w:rPr>
        <w:t>，</w:t>
      </w:r>
      <w:r>
        <w:rPr>
          <w:rFonts w:hint="eastAsia"/>
          <w:lang w:val="en-US" w:eastAsia="zh-CN"/>
        </w:rPr>
        <w:t>但20座大棚项目实际总投入为237.37万元。按照承包协议来看，</w:t>
      </w:r>
      <w:r>
        <w:rPr>
          <w:rFonts w:hint="eastAsia"/>
        </w:rPr>
        <w:t>最快需要</w:t>
      </w:r>
      <w:r>
        <w:rPr>
          <w:rFonts w:hint="eastAsia"/>
          <w:lang w:val="en-US" w:eastAsia="zh-CN"/>
        </w:rPr>
        <w:t>24</w:t>
      </w:r>
      <w:r>
        <w:rPr>
          <w:rFonts w:hint="eastAsia"/>
        </w:rPr>
        <w:t>年才能收回投资，项目后期才能逐步实现盈利。</w:t>
      </w:r>
      <w:r>
        <w:rPr>
          <w:rFonts w:hint="eastAsia"/>
          <w:lang w:val="en-US" w:eastAsia="zh-CN"/>
        </w:rPr>
        <w:t>宁武县东寨镇二马营村食用菌大棚建设项目10座大棚于2021年7月5日租给宁武县瑞鑫宇农产品加工专业合作社，一年承包费为5万元，但其总合同价为254.18万元，回本需要51年。</w:t>
      </w:r>
      <w:r>
        <w:rPr>
          <w:rFonts w:hint="eastAsia"/>
        </w:rPr>
        <w:t>如果考虑资产折旧和维护费用的话，从目前来看基本是不盈利的。</w:t>
      </w:r>
      <w:r>
        <w:rPr>
          <w:rFonts w:hint="eastAsia"/>
          <w:lang w:val="en-US" w:eastAsia="zh-CN"/>
        </w:rPr>
        <w:t>在食用菌项目实施过程中，</w:t>
      </w:r>
      <w:r>
        <w:rPr>
          <w:rFonts w:hint="eastAsia"/>
        </w:rPr>
        <w:t>农户和其他社会资本没有真正的入股进来，对于带动村集体经济发展和增加农户收入也产生了一定影响。</w:t>
      </w:r>
    </w:p>
    <w:p>
      <w:pPr>
        <w:pStyle w:val="4"/>
        <w:ind w:firstLine="560"/>
        <w:rPr>
          <w:rFonts w:hint="eastAsia"/>
        </w:rPr>
      </w:pPr>
      <w:bookmarkStart w:id="40" w:name="_Toc10673"/>
      <w:r>
        <w:rPr>
          <w:rFonts w:hint="eastAsia"/>
          <w:lang w:val="en-US" w:eastAsia="zh-CN"/>
        </w:rPr>
        <w:t>五</w:t>
      </w:r>
      <w:r>
        <w:rPr>
          <w:rFonts w:hint="eastAsia"/>
        </w:rPr>
        <w:t>、有关建议</w:t>
      </w:r>
      <w:bookmarkEnd w:id="37"/>
      <w:bookmarkEnd w:id="40"/>
    </w:p>
    <w:p>
      <w:pPr>
        <w:pStyle w:val="5"/>
        <w:bidi w:val="0"/>
        <w:rPr>
          <w:rFonts w:hint="default"/>
          <w:lang w:val="en-US" w:eastAsia="zh-CN"/>
        </w:rPr>
      </w:pPr>
      <w:bookmarkStart w:id="41" w:name="_Toc7823"/>
      <w:bookmarkStart w:id="42" w:name="_Toc22361"/>
      <w:bookmarkStart w:id="43" w:name="_Toc21761"/>
      <w:r>
        <w:rPr>
          <w:rFonts w:hint="eastAsia"/>
          <w:lang w:eastAsia="zh-CN"/>
        </w:rPr>
        <w:t>（</w:t>
      </w:r>
      <w:r>
        <w:rPr>
          <w:rFonts w:hint="eastAsia"/>
          <w:lang w:val="en-US" w:eastAsia="zh-CN"/>
        </w:rPr>
        <w:t>一</w:t>
      </w:r>
      <w:r>
        <w:rPr>
          <w:rFonts w:hint="eastAsia"/>
          <w:lang w:eastAsia="zh-CN"/>
        </w:rPr>
        <w:t>）</w:t>
      </w:r>
      <w:r>
        <w:rPr>
          <w:rFonts w:hint="eastAsia"/>
          <w:lang w:val="en-US" w:eastAsia="zh-CN"/>
        </w:rPr>
        <w:t>完善相关资料</w:t>
      </w:r>
      <w:bookmarkEnd w:id="41"/>
      <w:bookmarkEnd w:id="42"/>
    </w:p>
    <w:p>
      <w:pPr>
        <w:bidi w:val="0"/>
        <w:rPr>
          <w:rFonts w:hint="eastAsia" w:eastAsia="仿宋_GB2312"/>
          <w:lang w:val="en-US" w:eastAsia="zh-CN"/>
        </w:rPr>
      </w:pPr>
      <w:r>
        <w:t>完善档案管理制度，指定专人对项目相关资料进行收集，应加强财务工作人员职业技能的培训</w:t>
      </w:r>
      <w:r>
        <w:rPr>
          <w:rFonts w:hint="eastAsia"/>
          <w:lang w:eastAsia="zh-CN"/>
        </w:rPr>
        <w:t>，</w:t>
      </w:r>
      <w:r>
        <w:t>制定相应的监控措施或手段；完善监控措施或手段及项目运营管理制度并严格执行；</w:t>
      </w:r>
      <w:r>
        <w:rPr>
          <w:rFonts w:hint="eastAsia"/>
          <w:lang w:val="en-US" w:eastAsia="zh-CN"/>
        </w:rPr>
        <w:t>完善资料审核程序并严格执行，对资料内容相互矛盾的要进行再次确认，确保项目资料的准确性跟完整性，</w:t>
      </w:r>
      <w:r>
        <w:t>保证资金使用合理性</w:t>
      </w:r>
      <w:r>
        <w:rPr>
          <w:rFonts w:hint="eastAsia"/>
          <w:lang w:eastAsia="zh-CN"/>
        </w:rPr>
        <w:t>。</w:t>
      </w:r>
    </w:p>
    <w:p>
      <w:pPr>
        <w:pStyle w:val="5"/>
        <w:bidi w:val="0"/>
      </w:pPr>
      <w:bookmarkStart w:id="44" w:name="_Toc19246"/>
      <w:bookmarkStart w:id="45" w:name="_Toc5897"/>
      <w:r>
        <w:rPr>
          <w:rFonts w:hint="eastAsia"/>
        </w:rPr>
        <w:t>（</w:t>
      </w:r>
      <w:r>
        <w:rPr>
          <w:rFonts w:hint="eastAsia"/>
          <w:lang w:val="en-US" w:eastAsia="zh-CN"/>
        </w:rPr>
        <w:t>二</w:t>
      </w:r>
      <w:r>
        <w:rPr>
          <w:rFonts w:hint="eastAsia"/>
        </w:rPr>
        <w:t>）加强合同管理，按照合同约定执行</w:t>
      </w:r>
      <w:bookmarkEnd w:id="43"/>
      <w:bookmarkEnd w:id="44"/>
      <w:bookmarkEnd w:id="45"/>
    </w:p>
    <w:p>
      <w:pPr>
        <w:ind w:firstLine="560"/>
        <w:rPr>
          <w:rFonts w:hint="eastAsia"/>
        </w:rPr>
      </w:pPr>
      <w:r>
        <w:rPr>
          <w:rFonts w:hint="eastAsia"/>
        </w:rPr>
        <w:t>在履行合同约定时，应加强合同管理制度。在合同签约时明确合同工期及界定工期延期或延误的条件，规定承包单位对项目施工工期的责任及相应的经济条款，约定工程款付款方式。在进行结算时应当按照合同约定支付，财务负责人审批本部门的付款申请过程中，应当对该笔资金涉及的业务进行审核，看其付款是否符合合同的约定，认真履行合同约定的条款。以减少在合同执行中的纠纷。执行合同时，严格按合同的条件对施工工期进行检查，有效地督促承包单位按期完成各阶段施工任务。</w:t>
      </w:r>
    </w:p>
    <w:p>
      <w:pPr>
        <w:pStyle w:val="5"/>
        <w:bidi w:val="0"/>
        <w:rPr>
          <w:rFonts w:hint="default"/>
          <w:lang w:val="en-US" w:eastAsia="zh-CN"/>
        </w:rPr>
      </w:pPr>
      <w:bookmarkStart w:id="46" w:name="_Toc25135"/>
      <w:bookmarkStart w:id="47" w:name="_Toc15082"/>
      <w:r>
        <w:rPr>
          <w:rFonts w:hint="eastAsia"/>
          <w:lang w:eastAsia="zh-CN"/>
        </w:rPr>
        <w:t>（</w:t>
      </w:r>
      <w:r>
        <w:rPr>
          <w:rFonts w:hint="eastAsia"/>
          <w:lang w:val="en-US" w:eastAsia="zh-CN"/>
        </w:rPr>
        <w:t>三</w:t>
      </w:r>
      <w:r>
        <w:rPr>
          <w:rFonts w:hint="eastAsia"/>
          <w:lang w:eastAsia="zh-CN"/>
        </w:rPr>
        <w:t>）</w:t>
      </w:r>
      <w:r>
        <w:rPr>
          <w:rFonts w:hint="eastAsia"/>
          <w:lang w:val="en-US" w:eastAsia="zh-CN"/>
        </w:rPr>
        <w:t>借鉴成功经验，坚持改革创新</w:t>
      </w:r>
      <w:bookmarkEnd w:id="46"/>
      <w:bookmarkEnd w:id="47"/>
    </w:p>
    <w:p>
      <w:pPr>
        <w:bidi w:val="0"/>
      </w:pPr>
      <w:r>
        <w:rPr>
          <w:rFonts w:hint="eastAsia"/>
          <w:lang w:val="en-US" w:eastAsia="zh-CN"/>
        </w:rPr>
        <w:t>宁武县食用菌项目</w:t>
      </w:r>
      <w:r>
        <w:rPr>
          <w:rFonts w:hint="eastAsia"/>
        </w:rPr>
        <w:t>应积极探索，坚持改革创新，结合本</w:t>
      </w:r>
      <w:r>
        <w:rPr>
          <w:rFonts w:hint="eastAsia"/>
          <w:lang w:val="en-US" w:eastAsia="zh-CN"/>
        </w:rPr>
        <w:t>县</w:t>
      </w:r>
      <w:r>
        <w:rPr>
          <w:rFonts w:hint="eastAsia"/>
        </w:rPr>
        <w:t>实际情况发展不同的集体经济实现形式，改变以承包经营和集体经营为主且经济效益不高的局面。同时，借鉴</w:t>
      </w:r>
      <w:r>
        <w:rPr>
          <w:rFonts w:hint="eastAsia"/>
          <w:lang w:val="en-US" w:eastAsia="zh-CN"/>
        </w:rPr>
        <w:t>其他食用菌扶贫项目的成功</w:t>
      </w:r>
      <w:r>
        <w:rPr>
          <w:rFonts w:hint="eastAsia"/>
        </w:rPr>
        <w:t>经验，逐步复制和推广，发展具有特色的现代农业产业。积极鼓励农户以土地承包经营权折股入社，调动农户广泛参与的积极性，吸引更多的社会资本参与到村集体经济发展事业。</w:t>
      </w:r>
    </w:p>
    <w:p>
      <w:pPr>
        <w:ind w:firstLine="560"/>
        <w:jc w:val="center"/>
      </w:pPr>
    </w:p>
    <w:sectPr>
      <w:headerReference r:id="rId6" w:type="default"/>
      <w:footerReference r:id="rId7" w:type="default"/>
      <w:pgSz w:w="11906" w:h="16838"/>
      <w:pgMar w:top="2041" w:right="1417" w:bottom="1417" w:left="1531"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66"/>
      </w:tabs>
      <w:snapToGrid w:val="0"/>
      <w:ind w:firstLine="560"/>
      <w:rPr>
        <w:rFonts w:ascii="Calibri" w:hAnsi="Calibri"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66"/>
      </w:tabs>
      <w:snapToGrid w:val="0"/>
      <w:ind w:firstLine="560"/>
      <w:rPr>
        <w:rFonts w:ascii="Calibri" w:hAnsi="Calibri" w:cs="Times New Roman"/>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65150"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515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pt;width:44.5pt;mso-position-horizontal:center;mso-position-horizontal-relative:margin;z-index:251660288;mso-width-relative:page;mso-height-relative:page;" filled="f" stroked="f" coordsize="21600,21600" o:gfxdata="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ywEafSAAAAAwEAAA8AAAAAAAAAAQAgAAAAIgAAAGRycy9kb3ducmV2LnhtbFBL&#10;AQIUABQAAAAIAIdO4kBmM2lQNQIAAGEEAAAOAAAAAAAAAAEAIAAAACEBAABkcnMvZTJvRG9jLnht&#10;bFBLBQYAAAAABgAGAFkBAADIBQAAAAA=&#10;">
              <v:fill on="f" focussize="0,0"/>
              <v:stroke on="f" weight="0.5pt"/>
              <v:imagedata o:title=""/>
              <o:lock v:ext="edit" aspectratio="f"/>
              <v:textbox inset="0mm,0mm,0mm,0mm">
                <w:txbxContent>
                  <w:p>
                    <w:pPr>
                      <w:pStyle w:val="8"/>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8"/>
                      <w:rPr>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pPr>
  </w:p>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ind w:firstLine="0" w:firstLineChars="0"/>
      <w:jc w:val="center"/>
      <w:textAlignment w:val="auto"/>
      <w:rPr>
        <w:rFonts w:hint="default" w:ascii="宋体" w:hAnsi="宋体" w:eastAsia="宋体" w:cs="宋体"/>
        <w:sz w:val="22"/>
        <w:szCs w:val="22"/>
        <w:u w:val="none"/>
        <w:lang w:val="en-US" w:eastAsia="zh-CN"/>
      </w:rPr>
    </w:pPr>
    <w:r>
      <w:rPr>
        <w:sz w:val="22"/>
        <w:szCs w:val="22"/>
      </w:rPr>
      <w:drawing>
        <wp:inline distT="0" distB="0" distL="114300" distR="114300">
          <wp:extent cx="240665" cy="2406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sz w:val="22"/>
        <w:szCs w:val="22"/>
        <w:u w:val="none"/>
        <w:lang w:val="en-US" w:eastAsia="zh-CN"/>
      </w:rPr>
      <w:t>宁武县东寨镇人民政府2020年统筹整合财政资金绩效评价报告</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MxYzRhOGEyODg4MDM5MWE5MDNmYTZhYmQwOGMifQ=="/>
  </w:docVars>
  <w:rsids>
    <w:rsidRoot w:val="6CE266E1"/>
    <w:rsid w:val="00155AC2"/>
    <w:rsid w:val="0033380F"/>
    <w:rsid w:val="00EE4F86"/>
    <w:rsid w:val="011419C5"/>
    <w:rsid w:val="01FB4F0E"/>
    <w:rsid w:val="04490E3A"/>
    <w:rsid w:val="05014D6A"/>
    <w:rsid w:val="05AF1702"/>
    <w:rsid w:val="075C2ED6"/>
    <w:rsid w:val="085A3298"/>
    <w:rsid w:val="0957229F"/>
    <w:rsid w:val="098B1D95"/>
    <w:rsid w:val="0A077E6E"/>
    <w:rsid w:val="0B8810EF"/>
    <w:rsid w:val="0C895531"/>
    <w:rsid w:val="0D7F6AEF"/>
    <w:rsid w:val="0E4A018A"/>
    <w:rsid w:val="0E6E7483"/>
    <w:rsid w:val="0EB21195"/>
    <w:rsid w:val="0EC2602C"/>
    <w:rsid w:val="0EEC5813"/>
    <w:rsid w:val="0F60125D"/>
    <w:rsid w:val="10BB740F"/>
    <w:rsid w:val="10C13452"/>
    <w:rsid w:val="120A09FB"/>
    <w:rsid w:val="123D3820"/>
    <w:rsid w:val="126477A7"/>
    <w:rsid w:val="12E23ED9"/>
    <w:rsid w:val="1319311C"/>
    <w:rsid w:val="136E0471"/>
    <w:rsid w:val="14AC6A57"/>
    <w:rsid w:val="15062A39"/>
    <w:rsid w:val="154736DF"/>
    <w:rsid w:val="15905C99"/>
    <w:rsid w:val="17AA5543"/>
    <w:rsid w:val="188957A5"/>
    <w:rsid w:val="1893046A"/>
    <w:rsid w:val="19597980"/>
    <w:rsid w:val="1A3638B6"/>
    <w:rsid w:val="1A37637D"/>
    <w:rsid w:val="1A9457B2"/>
    <w:rsid w:val="1C3D0865"/>
    <w:rsid w:val="1C95348F"/>
    <w:rsid w:val="201070A4"/>
    <w:rsid w:val="20B14DD4"/>
    <w:rsid w:val="20B26943"/>
    <w:rsid w:val="2158361D"/>
    <w:rsid w:val="2192552A"/>
    <w:rsid w:val="22233FF9"/>
    <w:rsid w:val="22405DE1"/>
    <w:rsid w:val="22F50171"/>
    <w:rsid w:val="233D5CCF"/>
    <w:rsid w:val="244E2B1A"/>
    <w:rsid w:val="263E2CD6"/>
    <w:rsid w:val="268D315A"/>
    <w:rsid w:val="27446B03"/>
    <w:rsid w:val="277466A2"/>
    <w:rsid w:val="27E46DD5"/>
    <w:rsid w:val="28722A91"/>
    <w:rsid w:val="2A93050C"/>
    <w:rsid w:val="2AFA2FA8"/>
    <w:rsid w:val="2BEE2474"/>
    <w:rsid w:val="2CAE442D"/>
    <w:rsid w:val="2D4D7E03"/>
    <w:rsid w:val="2E02005F"/>
    <w:rsid w:val="2F3C31CA"/>
    <w:rsid w:val="2F432A78"/>
    <w:rsid w:val="2F672FE4"/>
    <w:rsid w:val="2F9E3544"/>
    <w:rsid w:val="30962C21"/>
    <w:rsid w:val="30D00C92"/>
    <w:rsid w:val="329303F8"/>
    <w:rsid w:val="332731CA"/>
    <w:rsid w:val="33781354"/>
    <w:rsid w:val="34AE7012"/>
    <w:rsid w:val="35076A58"/>
    <w:rsid w:val="350A0C1B"/>
    <w:rsid w:val="363F0CB0"/>
    <w:rsid w:val="37003C14"/>
    <w:rsid w:val="38645797"/>
    <w:rsid w:val="392569E6"/>
    <w:rsid w:val="39C05C45"/>
    <w:rsid w:val="39ED1F78"/>
    <w:rsid w:val="3AAC4931"/>
    <w:rsid w:val="3AF23C98"/>
    <w:rsid w:val="3B80697E"/>
    <w:rsid w:val="3C713DA9"/>
    <w:rsid w:val="3C8A7F52"/>
    <w:rsid w:val="3CA0136A"/>
    <w:rsid w:val="3CDA59DE"/>
    <w:rsid w:val="3D2D2942"/>
    <w:rsid w:val="3DE9725D"/>
    <w:rsid w:val="3EF03A08"/>
    <w:rsid w:val="3F9115B6"/>
    <w:rsid w:val="3FB4613F"/>
    <w:rsid w:val="40CD7497"/>
    <w:rsid w:val="412455EB"/>
    <w:rsid w:val="41A10C82"/>
    <w:rsid w:val="429A4B20"/>
    <w:rsid w:val="42A12870"/>
    <w:rsid w:val="42C75C87"/>
    <w:rsid w:val="432509D4"/>
    <w:rsid w:val="44FA39CF"/>
    <w:rsid w:val="45324E01"/>
    <w:rsid w:val="484844B4"/>
    <w:rsid w:val="48D940C5"/>
    <w:rsid w:val="49C56EC1"/>
    <w:rsid w:val="4C8D7367"/>
    <w:rsid w:val="4CA42F8C"/>
    <w:rsid w:val="4F2609F4"/>
    <w:rsid w:val="4FF54C1A"/>
    <w:rsid w:val="501C6041"/>
    <w:rsid w:val="506560ED"/>
    <w:rsid w:val="506801F1"/>
    <w:rsid w:val="50854B5E"/>
    <w:rsid w:val="52ED237A"/>
    <w:rsid w:val="531E668A"/>
    <w:rsid w:val="53A65F0D"/>
    <w:rsid w:val="54D6445C"/>
    <w:rsid w:val="54DC0D39"/>
    <w:rsid w:val="553774D4"/>
    <w:rsid w:val="554075FE"/>
    <w:rsid w:val="55EA2356"/>
    <w:rsid w:val="563B770F"/>
    <w:rsid w:val="57A37022"/>
    <w:rsid w:val="5910499B"/>
    <w:rsid w:val="59666A8C"/>
    <w:rsid w:val="5A543BA7"/>
    <w:rsid w:val="5A7B29D7"/>
    <w:rsid w:val="5B695B6F"/>
    <w:rsid w:val="5B720B51"/>
    <w:rsid w:val="5C5F25A0"/>
    <w:rsid w:val="5D921ABE"/>
    <w:rsid w:val="5DD90458"/>
    <w:rsid w:val="5E0430BA"/>
    <w:rsid w:val="5E651C6D"/>
    <w:rsid w:val="5ED503C6"/>
    <w:rsid w:val="5F457938"/>
    <w:rsid w:val="5FCB2602"/>
    <w:rsid w:val="5FDD2D27"/>
    <w:rsid w:val="60FC3FB5"/>
    <w:rsid w:val="61C06E51"/>
    <w:rsid w:val="627D3385"/>
    <w:rsid w:val="63AF2748"/>
    <w:rsid w:val="63EE5AC0"/>
    <w:rsid w:val="643E149E"/>
    <w:rsid w:val="64DB2ACC"/>
    <w:rsid w:val="654A1971"/>
    <w:rsid w:val="67CA1756"/>
    <w:rsid w:val="67CD7F82"/>
    <w:rsid w:val="688B30A1"/>
    <w:rsid w:val="69011932"/>
    <w:rsid w:val="690310F5"/>
    <w:rsid w:val="695B5B8A"/>
    <w:rsid w:val="6A453452"/>
    <w:rsid w:val="6A9D79DA"/>
    <w:rsid w:val="6AE2152A"/>
    <w:rsid w:val="6BAC4A8D"/>
    <w:rsid w:val="6C701AEC"/>
    <w:rsid w:val="6CE266E1"/>
    <w:rsid w:val="6DCE3D76"/>
    <w:rsid w:val="6DCF0533"/>
    <w:rsid w:val="6F155B45"/>
    <w:rsid w:val="6FD248BA"/>
    <w:rsid w:val="70660B84"/>
    <w:rsid w:val="709C14C1"/>
    <w:rsid w:val="71A94AA2"/>
    <w:rsid w:val="722A11A9"/>
    <w:rsid w:val="725A6CF0"/>
    <w:rsid w:val="728A091E"/>
    <w:rsid w:val="73FC6C68"/>
    <w:rsid w:val="742A6A6B"/>
    <w:rsid w:val="75A76677"/>
    <w:rsid w:val="75E4177A"/>
    <w:rsid w:val="76217617"/>
    <w:rsid w:val="76E312F1"/>
    <w:rsid w:val="7A1E6E67"/>
    <w:rsid w:val="7B6B56D3"/>
    <w:rsid w:val="7B8247D8"/>
    <w:rsid w:val="7C5D7BDC"/>
    <w:rsid w:val="7CE01FCA"/>
    <w:rsid w:val="7D9515D9"/>
    <w:rsid w:val="7F8B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ascii="仿宋_GB2312" w:hAnsi="仿宋_GB2312" w:eastAsia="仿宋_GB2312" w:cstheme="minorBidi"/>
      <w:kern w:val="2"/>
      <w:sz w:val="28"/>
      <w:szCs w:val="24"/>
      <w:lang w:val="en-US" w:eastAsia="zh-CN" w:bidi="ar-SA"/>
    </w:rPr>
  </w:style>
  <w:style w:type="paragraph" w:styleId="4">
    <w:name w:val="heading 1"/>
    <w:basedOn w:val="1"/>
    <w:next w:val="1"/>
    <w:qFormat/>
    <w:uiPriority w:val="0"/>
    <w:pPr>
      <w:keepNext/>
      <w:keepLines/>
      <w:outlineLvl w:val="0"/>
    </w:pPr>
    <w:rPr>
      <w:rFonts w:eastAsia="黑体"/>
      <w:bCs/>
      <w:kern w:val="44"/>
      <w:szCs w:val="44"/>
    </w:rPr>
  </w:style>
  <w:style w:type="paragraph" w:styleId="5">
    <w:name w:val="heading 2"/>
    <w:basedOn w:val="1"/>
    <w:next w:val="1"/>
    <w:unhideWhenUsed/>
    <w:qFormat/>
    <w:uiPriority w:val="0"/>
    <w:pPr>
      <w:keepNext/>
      <w:keepLines/>
      <w:outlineLvl w:val="1"/>
    </w:pPr>
    <w:rPr>
      <w:rFonts w:eastAsia="楷体_GB2312"/>
    </w:rPr>
  </w:style>
  <w:style w:type="paragraph" w:styleId="6">
    <w:name w:val="heading 3"/>
    <w:basedOn w:val="1"/>
    <w:next w:val="1"/>
    <w:unhideWhenUsed/>
    <w:qFormat/>
    <w:uiPriority w:val="0"/>
    <w:pPr>
      <w:keepLines/>
      <w:outlineLvl w:val="2"/>
    </w:pPr>
    <w:rPr>
      <w:b/>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style>
  <w:style w:type="paragraph" w:styleId="3">
    <w:name w:val="Plain Text"/>
    <w:basedOn w:val="1"/>
    <w:qFormat/>
    <w:uiPriority w:val="0"/>
    <w:rPr>
      <w:rFonts w:ascii="宋体" w:hAnsi="Courier New"/>
      <w:szCs w:val="20"/>
    </w:rPr>
  </w:style>
  <w:style w:type="paragraph" w:styleId="7">
    <w:name w:val="annotation text"/>
    <w:qFormat/>
    <w:uiPriority w:val="0"/>
    <w:pPr>
      <w:widowControl w:val="0"/>
    </w:pPr>
    <w:rPr>
      <w:rFonts w:ascii="Times New Roman" w:hAnsi="Times New Roman" w:eastAsia="宋体" w:cs="Times New Roman"/>
      <w:kern w:val="2"/>
      <w:sz w:val="21"/>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6">
    <w:name w:val="font41"/>
    <w:basedOn w:val="15"/>
    <w:qFormat/>
    <w:uiPriority w:val="0"/>
    <w:rPr>
      <w:rFonts w:hint="eastAsia" w:ascii="宋体" w:hAnsi="宋体" w:eastAsia="宋体" w:cs="宋体"/>
      <w:b/>
      <w:bCs/>
      <w:color w:val="000000"/>
      <w:sz w:val="20"/>
      <w:szCs w:val="20"/>
      <w:u w:val="none"/>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table" w:customStyle="1" w:styleId="19">
    <w:name w:val="Table Normal"/>
    <w:semiHidden/>
    <w:unhideWhenUsed/>
    <w:qFormat/>
    <w:uiPriority w:val="0"/>
    <w:tblPr>
      <w:tblCellMar>
        <w:top w:w="0" w:type="dxa"/>
        <w:left w:w="0" w:type="dxa"/>
        <w:bottom w:w="0" w:type="dxa"/>
        <w:right w:w="0" w:type="dxa"/>
      </w:tblCellMar>
    </w:tblPr>
  </w:style>
  <w:style w:type="paragraph" w:customStyle="1" w:styleId="2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5912</Words>
  <Characters>6343</Characters>
  <Lines>0</Lines>
  <Paragraphs>0</Paragraphs>
  <TotalTime>24</TotalTime>
  <ScaleCrop>false</ScaleCrop>
  <LinksUpToDate>false</LinksUpToDate>
  <CharactersWithSpaces>6385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2021-09-08T10:34:00Z</dcterms:created>
  <dc:creator>跟空气撒个娇</dc:creator>
  <cp:lastModifiedBy>查杰。</cp:lastModifiedBy>
  <cp:lastPrinted>2022-05-05T00:45:00Z</cp:lastPrinted>
  <dcterms:modified xsi:type="dcterms:W3CDTF">2022-09-13T11:25:17Z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D1C84F60BC2E469D9751DDB93A3BD96A</vt:lpwstr>
  </property>
  <property fmtid="{D5CDD505-2E9C-101B-9397-08002B2CF9AE}" pid="4" name="commondata">
    <vt:lpwstr>eyJoZGlkIjoiZGEzODMyZDcyZDEwMzlkZjk5ZGMzOWYxMzM5MDgxMDMifQ==</vt:lpwstr>
  </property>
</Properties>
</file>