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p>
    <w:p>
      <w:pPr>
        <w:pStyle w:val="2"/>
      </w:pPr>
    </w:p>
    <w:p>
      <w:pPr>
        <w:pStyle w:val="2"/>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宁武县汾河治理事务中心2020年统筹整</w:t>
      </w:r>
      <w:bookmarkStart w:id="81" w:name="_GoBack"/>
      <w:bookmarkEnd w:id="81"/>
      <w:r>
        <w:rPr>
          <w:rFonts w:hint="eastAsia" w:ascii="方正小标宋简体" w:eastAsia="方正小标宋简体"/>
          <w:sz w:val="44"/>
          <w:szCs w:val="44"/>
        </w:rPr>
        <w:t>合</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财政资金绩效评价报告</w:t>
      </w:r>
    </w:p>
    <w:p/>
    <w:p/>
    <w:p/>
    <w:p>
      <w:pPr>
        <w:pStyle w:val="2"/>
      </w:pPr>
    </w:p>
    <w:p/>
    <w:p>
      <w:pPr>
        <w:pStyle w:val="2"/>
      </w:pPr>
    </w:p>
    <w:p>
      <w:pPr>
        <w:ind w:firstLine="640"/>
        <w:rPr>
          <w:sz w:val="32"/>
          <w:szCs w:val="32"/>
        </w:rPr>
      </w:pPr>
    </w:p>
    <w:p>
      <w:pPr>
        <w:pStyle w:val="2"/>
        <w:ind w:firstLine="640"/>
        <w:rPr>
          <w:sz w:val="32"/>
          <w:szCs w:val="32"/>
        </w:rPr>
      </w:pPr>
    </w:p>
    <w:p>
      <w:pPr>
        <w:pStyle w:val="2"/>
        <w:ind w:firstLine="640"/>
        <w:rPr>
          <w:sz w:val="32"/>
          <w:szCs w:val="32"/>
        </w:rPr>
      </w:pPr>
    </w:p>
    <w:p>
      <w:pPr>
        <w:pStyle w:val="2"/>
        <w:ind w:firstLine="640"/>
        <w:rPr>
          <w:sz w:val="32"/>
          <w:szCs w:val="32"/>
        </w:rPr>
      </w:pPr>
    </w:p>
    <w:p>
      <w:pPr>
        <w:ind w:firstLine="640"/>
        <w:rPr>
          <w:rFonts w:ascii="黑体" w:hAnsi="黑体" w:eastAsia="黑体"/>
          <w:sz w:val="32"/>
          <w:szCs w:val="32"/>
        </w:rPr>
      </w:pPr>
      <w:r>
        <w:rPr>
          <w:rFonts w:hint="eastAsia" w:ascii="黑体" w:hAnsi="黑体" w:eastAsia="黑体"/>
          <w:sz w:val="32"/>
          <w:szCs w:val="32"/>
        </w:rPr>
        <w:t>部门名称：宁武县汾河治理事务中心</w:t>
      </w:r>
    </w:p>
    <w:p>
      <w:pPr>
        <w:ind w:firstLine="640"/>
        <w:rPr>
          <w:rFonts w:ascii="黑体" w:hAnsi="黑体" w:eastAsia="黑体"/>
          <w:sz w:val="32"/>
          <w:szCs w:val="32"/>
        </w:rPr>
      </w:pPr>
      <w:r>
        <w:rPr>
          <w:rFonts w:hint="eastAsia" w:ascii="黑体" w:hAnsi="黑体" w:eastAsia="黑体"/>
          <w:sz w:val="32"/>
          <w:szCs w:val="32"/>
        </w:rPr>
        <w:t>委托单位：宁武县财政局</w:t>
      </w:r>
    </w:p>
    <w:p>
      <w:pPr>
        <w:ind w:firstLine="640"/>
        <w:rPr>
          <w:rFonts w:ascii="黑体" w:hAnsi="黑体" w:eastAsia="黑体"/>
          <w:sz w:val="32"/>
          <w:szCs w:val="32"/>
        </w:rPr>
      </w:pPr>
      <w:r>
        <w:rPr>
          <w:rFonts w:hint="eastAsia" w:ascii="黑体" w:hAnsi="黑体" w:eastAsia="黑体"/>
          <w:sz w:val="32"/>
          <w:szCs w:val="32"/>
        </w:rPr>
        <w:t xml:space="preserve">评价机构：山西亚泰会计师事务所有限公司              </w:t>
      </w:r>
    </w:p>
    <w:p>
      <w:pPr>
        <w:ind w:firstLine="0" w:firstLineChars="0"/>
        <w:jc w:val="center"/>
        <w:rPr>
          <w:rFonts w:ascii="黑体" w:hAnsi="黑体" w:eastAsia="黑体"/>
          <w:sz w:val="32"/>
          <w:szCs w:val="32"/>
        </w:rPr>
      </w:pPr>
    </w:p>
    <w:p>
      <w:pPr>
        <w:ind w:firstLine="0" w:firstLineChars="0"/>
        <w:jc w:val="center"/>
      </w:pPr>
      <w:r>
        <w:rPr>
          <w:rFonts w:hint="eastAsia" w:ascii="黑体" w:hAnsi="黑体" w:eastAsia="黑体"/>
          <w:sz w:val="32"/>
          <w:szCs w:val="32"/>
        </w:rPr>
        <w:t>二</w:t>
      </w:r>
      <w:r>
        <w:rPr>
          <w:rFonts w:hint="eastAsia" w:ascii="黑体" w:hAnsi="黑体" w:eastAsia="黑体" w:cs="宋体"/>
          <w:sz w:val="32"/>
          <w:szCs w:val="32"/>
        </w:rPr>
        <w:t>〇</w:t>
      </w:r>
      <w:r>
        <w:rPr>
          <w:rFonts w:hint="eastAsia" w:ascii="黑体" w:hAnsi="黑体" w:eastAsia="黑体" w:cs="仿宋_GB2312"/>
          <w:sz w:val="32"/>
          <w:szCs w:val="32"/>
        </w:rPr>
        <w:t>二一年十月</w:t>
      </w:r>
      <w:r>
        <w:rPr>
          <w:rFonts w:hint="eastAsia" w:ascii="方正小标宋简体" w:eastAsia="方正小标宋简体"/>
          <w:sz w:val="36"/>
          <w:szCs w:val="36"/>
        </w:rPr>
        <w:br w:type="page"/>
      </w:r>
    </w:p>
    <w:p>
      <w:pPr>
        <w:pStyle w:val="12"/>
        <w:tabs>
          <w:tab w:val="right" w:leader="dot" w:pos="8956"/>
        </w:tabs>
        <w:rPr>
          <w:b/>
        </w:rPr>
        <w:sectPr>
          <w:headerReference r:id="rId6" w:type="first"/>
          <w:headerReference r:id="rId5" w:type="default"/>
          <w:footerReference r:id="rId7" w:type="default"/>
          <w:pgSz w:w="11905" w:h="16838"/>
          <w:pgMar w:top="2041" w:right="1418" w:bottom="1418" w:left="1531" w:header="850" w:footer="850" w:gutter="0"/>
          <w:pgBorders>
            <w:top w:val="none" w:sz="0" w:space="0"/>
            <w:left w:val="none" w:sz="0" w:space="0"/>
            <w:bottom w:val="none" w:sz="0" w:space="0"/>
            <w:right w:val="none" w:sz="0" w:space="0"/>
          </w:pgBorders>
          <w:pgNumType w:start="1"/>
          <w:cols w:space="720" w:num="1"/>
          <w:titlePg/>
          <w:docGrid w:linePitch="312" w:charSpace="0"/>
        </w:sectPr>
      </w:pPr>
      <w:bookmarkStart w:id="0" w:name="_Toc20311"/>
    </w:p>
    <w:bookmarkEnd w:id="0"/>
    <w:p>
      <w:pPr>
        <w:ind w:firstLine="0" w:firstLineChars="0"/>
        <w:jc w:val="center"/>
        <w:rPr>
          <w:rFonts w:ascii="方正小标宋简体" w:eastAsia="方正小标宋简体"/>
          <w:sz w:val="36"/>
          <w:szCs w:val="36"/>
        </w:rPr>
      </w:pPr>
      <w:bookmarkStart w:id="1" w:name="_Toc5555"/>
      <w:r>
        <w:rPr>
          <w:rFonts w:hint="eastAsia" w:ascii="方正小标宋简体" w:eastAsia="方正小标宋简体"/>
          <w:sz w:val="36"/>
          <w:szCs w:val="36"/>
        </w:rPr>
        <w:t>宁武县汾河治理事务中心2020年统筹整合</w:t>
      </w:r>
      <w:bookmarkEnd w:id="1"/>
    </w:p>
    <w:p>
      <w:pPr>
        <w:ind w:firstLine="0" w:firstLineChars="0"/>
        <w:jc w:val="center"/>
        <w:rPr>
          <w:sz w:val="36"/>
          <w:szCs w:val="36"/>
        </w:rPr>
      </w:pPr>
      <w:bookmarkStart w:id="2" w:name="_Toc9709"/>
      <w:r>
        <w:rPr>
          <w:rFonts w:hint="eastAsia" w:ascii="方正小标宋简体" w:eastAsia="方正小标宋简体"/>
          <w:sz w:val="36"/>
          <w:szCs w:val="36"/>
        </w:rPr>
        <w:t>财政资金绩效评价报告</w:t>
      </w:r>
      <w:bookmarkEnd w:id="2"/>
    </w:p>
    <w:p>
      <w:bookmarkStart w:id="3" w:name="_Toc6992"/>
      <w:r>
        <w:rPr>
          <w:rFonts w:hint="eastAsia"/>
        </w:rPr>
        <w:t>根据《中华人民共和国预算法》规定，按照《中共山西省委 山西省人民政府关于全面实施预算绩效管理的实施意见》 （晋发〔2018〕39号）、山西省财政厅《省级项目支出绩效评价管理办法》（晋财绩〔2020〕17号）的要求，受宁武县财政局委托，山西亚泰会计师事务所有限公司对宁武县汾河治理事务中心2020年统筹整合财政资金开展了绩效评价，现将有关情况报告如下。</w:t>
      </w:r>
    </w:p>
    <w:p>
      <w:pPr>
        <w:pStyle w:val="4"/>
        <w:ind w:firstLine="560"/>
      </w:pPr>
      <w:bookmarkStart w:id="4" w:name="_Toc7472"/>
      <w:r>
        <w:rPr>
          <w:rFonts w:hint="eastAsia"/>
        </w:rPr>
        <w:t>一、基本情况</w:t>
      </w:r>
      <w:bookmarkEnd w:id="3"/>
      <w:bookmarkEnd w:id="4"/>
    </w:p>
    <w:p>
      <w:pPr>
        <w:pStyle w:val="5"/>
        <w:ind w:firstLine="560"/>
      </w:pPr>
      <w:bookmarkStart w:id="5" w:name="_Toc5574"/>
      <w:bookmarkStart w:id="6" w:name="_Toc30"/>
      <w:r>
        <w:rPr>
          <w:rFonts w:hint="eastAsia"/>
        </w:rPr>
        <w:t>（一）项目概况</w:t>
      </w:r>
      <w:bookmarkEnd w:id="5"/>
      <w:bookmarkEnd w:id="6"/>
    </w:p>
    <w:p>
      <w:pPr>
        <w:pStyle w:val="6"/>
        <w:ind w:firstLine="562"/>
      </w:pPr>
      <w:r>
        <w:rPr>
          <w:rFonts w:hint="eastAsia"/>
        </w:rPr>
        <w:t>1.项目背景</w:t>
      </w:r>
    </w:p>
    <w:p>
      <w:pPr>
        <w:widowControl/>
        <w:jc w:val="left"/>
        <w:rPr>
          <w:rFonts w:hAnsi="宋体" w:cs="仿宋_GB2312"/>
          <w:color w:val="000000"/>
          <w:kern w:val="0"/>
          <w:szCs w:val="28"/>
          <w:lang w:bidi="ar"/>
        </w:rPr>
      </w:pPr>
      <w:r>
        <w:rPr>
          <w:rFonts w:hint="eastAsia" w:hAnsi="宋体" w:cs="仿宋_GB2312"/>
          <w:color w:val="000000"/>
          <w:kern w:val="0"/>
          <w:szCs w:val="28"/>
          <w:lang w:bidi="ar"/>
        </w:rPr>
        <w:t>党的十八大以来，习近平总书记在多个场合反复强调，生态文明建设是关系中华民族永续发展的根本大计，要深刻认识加强生态文明建设的重大意义。以习近平同志为核心的党中央把生态文明建设纳入中国特色社会主义事业总体布局，使生态文明建设成为“五位一体”总体布局中不可或缺的重要内容，“美丽中国”成为社会主义现代化强国的奋斗目标。</w:t>
      </w:r>
    </w:p>
    <w:p>
      <w:r>
        <w:rPr>
          <w:rFonts w:hint="eastAsia"/>
        </w:rPr>
        <w:t>2016年国务院办公厅发布了《关于支持贫困县开展统筹整合使用财政涉农资金试点的意见》（国办发〔2016〕22号），提出在各省（区、市）的连片特困地区县和国家扶贫开发工作重点县开展试点。2016年07月22日，山西省人民政府办公厅发布了《关于统筹整合使用财政资金实施精准扶贫的意见》（晋政办发〔2016〕101号），统筹整合使用财政资金范围，包括中央安排的涉农资金和省、市、县安排的可用于贫困县的财政性资金。</w:t>
      </w:r>
    </w:p>
    <w:p>
      <w:r>
        <w:rPr>
          <w:rFonts w:hint="eastAsia"/>
        </w:rPr>
        <w:t>2017年10月18日，习近平同志在十九大报告中指出，坚持人与自然和谐共生。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pStyle w:val="2"/>
        <w:spacing w:before="0"/>
      </w:pPr>
      <w:r>
        <w:rPr>
          <w:rFonts w:hint="eastAsia"/>
        </w:rPr>
        <w:t>为全面贯彻党的十九大和十九届二中、三中全会精神，以习近平新时代中国特色社会主义思想为指导，深入落实“节水优先、空间均衡、系统治理、两手发力”的治水方针，坚持精准扶贫精准脱贫基本方略，突出问题导向，聚焦深度贫困，强化主体责任，优化政策供给，着力推进贫困地区水利基础设施建设，着力提升贫困地区水利管理能力，着力加强水利扶贫工作作风建设，扎实推进行业扶贫、定点扶贫、片区联系、对口支援和革命老区“五位一体”水利扶贫各项工作，为打赢脱贫攻坚战、全面建成小康社会提供坚实的水利支撑和保障。2018年8月15日，水利部《关于印发水利扶贫行动三年（2018—2020年）实施方案的通知》（水扶贫〔2018〕200号），明确提出“不断加强贫困地区防洪减灾能力建设”和“继续加大贫困地区水土流失综合治理”作为水利扶贫行动三年的重点任务。</w:t>
      </w:r>
    </w:p>
    <w:p>
      <w:pPr>
        <w:pStyle w:val="2"/>
        <w:spacing w:before="0"/>
      </w:pPr>
      <w:r>
        <w:t>为深入贯彻党中央、国务院打赢脱贫攻坚战的重大决策部署，全面落实中央第九巡视组对水利部党组开展脱贫攻坚专项巡视反馈意见要求，进一步加大对贫困地区水土保持支持力度，充分发挥水土保持助力脱贫攻坚的重要作用</w:t>
      </w:r>
      <w:r>
        <w:rPr>
          <w:rFonts w:hint="eastAsia"/>
        </w:rPr>
        <w:t>。2019年4月2日，水利部《关于进一步加大对贫困地区水土保持支持力度助力脱贫攻坚的意见》（办水保〔2019〕67号），提出：“把加快贫困地区特别是深度贫困地区水土流失综合防治摆上更加重要的位置，切实加强组织领导，明确目标责任，进一步加大对贫困地区水土保持支持力度，为打赢脱贫攻坚战，全面建成小康社会奠定坚实基础”，“在中央加大对贫困地区水土保持投入的同时，各地要强化地方主体责任，进一步加大省级资金对贫困地区倾斜支持力度。要严格落实国家在贫困地区安排的公益性建设项目取消县级和西部连片特困地区地市级配套资金的政策。认真落实涉农资金统筹整合政策有关要求，支持县级统筹整合涉农资金优先集中用于深度贫困地区、贫困人口相对集中的区域”。</w:t>
      </w:r>
    </w:p>
    <w:p>
      <w:r>
        <w:rPr>
          <w:rFonts w:hint="eastAsia"/>
        </w:rPr>
        <w:t>2020年8月26日，宁武县脱贫攻坚总指挥部《关于印发宁武县2020年统筹整合使用财政资金开展脱贫攻坚调整实施方案的通知》（宁脱贫攻坚部〔2020〕20号），明确指出年度统筹整合原则、范围以及资金规模，统筹整合各类资金34,572.17万元，其中：中央专项扶贫资金11,179.8万元（以工代赈资金294万元），中央彩票公益金支持贫困革命老区脱贫攻坚资金1,000万元，省级专项扶贫周转金573.6</w:t>
      </w:r>
      <w:r>
        <w:rPr>
          <w:rFonts w:hint="eastAsia"/>
          <w:lang w:val="en-US" w:eastAsia="zh-CN"/>
        </w:rPr>
        <w:t>0</w:t>
      </w:r>
      <w:r>
        <w:rPr>
          <w:rFonts w:hint="eastAsia"/>
        </w:rPr>
        <w:t>万元，市级专项扶贫资金1</w:t>
      </w:r>
      <w:r>
        <w:rPr>
          <w:rFonts w:hint="eastAsia"/>
          <w:lang w:val="en-US" w:eastAsia="zh-CN"/>
        </w:rPr>
        <w:t>,</w:t>
      </w:r>
      <w:r>
        <w:rPr>
          <w:rFonts w:hint="eastAsia"/>
        </w:rPr>
        <w:t>031.4</w:t>
      </w:r>
      <w:r>
        <w:rPr>
          <w:rFonts w:hint="eastAsia"/>
          <w:lang w:val="en-US" w:eastAsia="zh-CN"/>
        </w:rPr>
        <w:t>0</w:t>
      </w:r>
      <w:r>
        <w:rPr>
          <w:rFonts w:hint="eastAsia"/>
        </w:rPr>
        <w:t>万元，县级专项扶贫资金5,500万元，部门整合资金15,287.37万元（中央资金11,980.37万元，省级资金3,307万元）。</w:t>
      </w:r>
    </w:p>
    <w:p>
      <w:pPr>
        <w:pStyle w:val="5"/>
        <w:ind w:firstLine="560"/>
        <w:rPr>
          <w:rFonts w:hint="eastAsia"/>
        </w:rPr>
      </w:pPr>
      <w:bookmarkStart w:id="7" w:name="_Toc8887"/>
      <w:r>
        <w:rPr>
          <w:rFonts w:hint="eastAsia"/>
          <w:lang w:eastAsia="zh-CN"/>
        </w:rPr>
        <w:t>（</w:t>
      </w:r>
      <w:r>
        <w:rPr>
          <w:rFonts w:hint="eastAsia"/>
          <w:lang w:val="en-US" w:eastAsia="zh-CN"/>
        </w:rPr>
        <w:t>二</w:t>
      </w:r>
      <w:r>
        <w:rPr>
          <w:rFonts w:hint="eastAsia"/>
          <w:lang w:eastAsia="zh-CN"/>
        </w:rPr>
        <w:t>）</w:t>
      </w:r>
      <w:r>
        <w:rPr>
          <w:rFonts w:hint="eastAsia"/>
        </w:rPr>
        <w:t>主要内容及实施情况</w:t>
      </w:r>
    </w:p>
    <w:p>
      <w:pPr>
        <w:pStyle w:val="2"/>
        <w:spacing w:before="0"/>
      </w:pPr>
      <w:r>
        <w:rPr>
          <w:rFonts w:hint="eastAsia"/>
        </w:rPr>
        <w:t>宁武县汾河治理事务中心2020年统筹整合财政资金共涉及6个项目，包括汾河源头生态治理工程（水土保持）、汾河源头生态治理工程（河道治理）、大西沟流域水土保持综合治理、洪河源头小流域水土保持综合治理、瓦窑沟流域水土保持综合治理、碳窑坪小流域综合治理。每个项目的具体实施内容见表1-1。</w:t>
      </w:r>
    </w:p>
    <w:p>
      <w:pPr>
        <w:pStyle w:val="2"/>
        <w:spacing w:before="0"/>
        <w:ind w:firstLine="0" w:firstLineChars="0"/>
        <w:jc w:val="center"/>
        <w:rPr>
          <w:rFonts w:ascii="宋体" w:hAnsi="宋体" w:eastAsia="宋体" w:cs="宋体"/>
        </w:rPr>
      </w:pPr>
      <w:r>
        <w:rPr>
          <w:rFonts w:hint="eastAsia" w:ascii="宋体" w:hAnsi="宋体" w:eastAsia="宋体" w:cs="宋体"/>
        </w:rPr>
        <w:t>表1-1 各项目主要实施内容表</w:t>
      </w:r>
    </w:p>
    <w:tbl>
      <w:tblPr>
        <w:tblStyle w:val="16"/>
        <w:tblW w:w="9376" w:type="dxa"/>
        <w:jc w:val="center"/>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Layout w:type="fixed"/>
        <w:tblCellMar>
          <w:top w:w="0" w:type="dxa"/>
          <w:left w:w="0" w:type="dxa"/>
          <w:bottom w:w="0" w:type="dxa"/>
          <w:right w:w="0" w:type="dxa"/>
        </w:tblCellMar>
      </w:tblPr>
      <w:tblGrid>
        <w:gridCol w:w="702"/>
        <w:gridCol w:w="1999"/>
        <w:gridCol w:w="1971"/>
        <w:gridCol w:w="3190"/>
        <w:gridCol w:w="1514"/>
      </w:tblGrid>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blHeader/>
          <w:jc w:val="center"/>
        </w:trPr>
        <w:tc>
          <w:tcPr>
            <w:tcW w:w="702"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序号</w:t>
            </w:r>
          </w:p>
        </w:tc>
        <w:tc>
          <w:tcPr>
            <w:tcW w:w="1999"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项目名称</w:t>
            </w:r>
          </w:p>
        </w:tc>
        <w:tc>
          <w:tcPr>
            <w:tcW w:w="1971"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实施地点</w:t>
            </w:r>
          </w:p>
        </w:tc>
        <w:tc>
          <w:tcPr>
            <w:tcW w:w="3190"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建设内容与规模</w:t>
            </w:r>
          </w:p>
        </w:tc>
        <w:tc>
          <w:tcPr>
            <w:tcW w:w="1514"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建设期限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02"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w:t>
            </w:r>
          </w:p>
        </w:tc>
        <w:tc>
          <w:tcPr>
            <w:tcW w:w="199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汾河源头生态治理工程（水土保持）</w:t>
            </w:r>
          </w:p>
        </w:tc>
        <w:tc>
          <w:tcPr>
            <w:tcW w:w="1971"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余庄、迭台寺、东寨、化北屯、石家庄、西马坊、新堡7个乡镇，43个自然村和1个林场</w:t>
            </w:r>
          </w:p>
        </w:tc>
        <w:tc>
          <w:tcPr>
            <w:tcW w:w="319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治理面积51.73㎡，布置林草措施面积1.90㎡，封禁治理面积20.25㎡，保土耕作面积15.58㎡</w:t>
            </w:r>
          </w:p>
        </w:tc>
        <w:tc>
          <w:tcPr>
            <w:tcW w:w="1514"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2018.9-</w:t>
            </w:r>
          </w:p>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2019.9</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02"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w:t>
            </w:r>
          </w:p>
        </w:tc>
        <w:tc>
          <w:tcPr>
            <w:tcW w:w="199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汾河源头生态治理工程（河道治理）</w:t>
            </w:r>
          </w:p>
        </w:tc>
        <w:tc>
          <w:tcPr>
            <w:tcW w:w="1971"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东寨镇窑子湾、三马营、二马营、宫家庄村、石家庄镇潘家湾村、怀道乡怀道村3个乡镇6个村庄</w:t>
            </w:r>
          </w:p>
        </w:tc>
        <w:tc>
          <w:tcPr>
            <w:tcW w:w="319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1.河道治理总长度5.3437km；2.河道清理疏浚5.0265km；</w:t>
            </w:r>
          </w:p>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3.源头坡面及周边整治面积634.33亩，树化石展厅周边坡面绿化100.5亩，1037m通道两侧栽植行道树346棵；</w:t>
            </w:r>
          </w:p>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4.干流潘家湾段生态湿地26.16亩；</w:t>
            </w:r>
          </w:p>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5.汾河源头9座旧堰修复；</w:t>
            </w:r>
          </w:p>
          <w:p>
            <w:pPr>
              <w:widowControl/>
              <w:spacing w:line="240" w:lineRule="auto"/>
              <w:ind w:firstLine="0" w:firstLineChars="0"/>
              <w:jc w:val="center"/>
              <w:textAlignment w:val="center"/>
              <w:rPr>
                <w:sz w:val="24"/>
              </w:rPr>
            </w:pPr>
            <w:r>
              <w:rPr>
                <w:rFonts w:hint="eastAsia" w:ascii="宋体" w:hAnsi="宋体" w:eastAsia="宋体" w:cs="宋体"/>
                <w:color w:val="000000"/>
                <w:kern w:val="0"/>
                <w:sz w:val="24"/>
                <w:lang w:bidi="ar"/>
              </w:rPr>
              <w:t>6.二马营护堤林</w:t>
            </w:r>
          </w:p>
        </w:tc>
        <w:tc>
          <w:tcPr>
            <w:tcW w:w="1514"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2018.9-</w:t>
            </w:r>
          </w:p>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2019.9</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02"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3</w:t>
            </w:r>
          </w:p>
        </w:tc>
        <w:tc>
          <w:tcPr>
            <w:tcW w:w="199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大西沟流域水土保持综合治理</w:t>
            </w:r>
          </w:p>
        </w:tc>
        <w:tc>
          <w:tcPr>
            <w:tcW w:w="1971"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凤凰镇大河堡村</w:t>
            </w:r>
          </w:p>
        </w:tc>
        <w:tc>
          <w:tcPr>
            <w:tcW w:w="3190" w:type="dxa"/>
            <w:tcBorders>
              <w:tl2br w:val="nil"/>
              <w:tr2bl w:val="nil"/>
            </w:tcBorders>
            <w:shd w:val="clear" w:color="auto" w:fill="auto"/>
            <w:tcMar>
              <w:top w:w="10" w:type="dxa"/>
              <w:left w:w="10" w:type="dxa"/>
              <w:right w:w="10" w:type="dxa"/>
            </w:tcMar>
            <w:vAlign w:val="center"/>
          </w:tcPr>
          <w:p>
            <w:pPr>
              <w:widowControl/>
              <w:spacing w:line="240" w:lineRule="auto"/>
              <w:ind w:firstLine="480"/>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新建拦沙堰2座，洪水标准为20年一遇，设计淤积年限为5年。在沙道左岸修建生产道路795米，在拦沙堰周围荒坡地种植水保林38.88公顷。</w:t>
            </w:r>
          </w:p>
        </w:tc>
        <w:tc>
          <w:tcPr>
            <w:tcW w:w="1514"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2018.5.30-</w:t>
            </w:r>
          </w:p>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2018.7.20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02"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4</w:t>
            </w:r>
          </w:p>
        </w:tc>
        <w:tc>
          <w:tcPr>
            <w:tcW w:w="199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洪河源头小流域水土保持综合治理</w:t>
            </w:r>
          </w:p>
        </w:tc>
        <w:tc>
          <w:tcPr>
            <w:tcW w:w="1971"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余庄、迭台寺、东寨、化北屯、石家庄5个乡镇，暖泉沟、瓦窑沟、宫家庄等22个村</w:t>
            </w:r>
          </w:p>
        </w:tc>
        <w:tc>
          <w:tcPr>
            <w:tcW w:w="319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综合治理面积19.7㎡，其中：水保造林面积9.7㎡，包括营造经济林0.15㎡、乔木林1.12㎡、灌木林8.42㎡；封禁治理面积10.05㎡</w:t>
            </w:r>
          </w:p>
        </w:tc>
        <w:tc>
          <w:tcPr>
            <w:tcW w:w="1514"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2017.9-</w:t>
            </w:r>
          </w:p>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2018.12</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02"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5</w:t>
            </w:r>
          </w:p>
        </w:tc>
        <w:tc>
          <w:tcPr>
            <w:tcW w:w="199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瓦窑沟流域水土保持综合治理</w:t>
            </w:r>
          </w:p>
        </w:tc>
        <w:tc>
          <w:tcPr>
            <w:tcW w:w="1971"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凤凰镇瓦窑沟村</w:t>
            </w:r>
          </w:p>
        </w:tc>
        <w:tc>
          <w:tcPr>
            <w:tcW w:w="319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修建拦沙堰1座，拦沙坎4座，浆砌石排洪渠310.4米、铅丝石笼排洪渠20米、水保经济林1.1公顷</w:t>
            </w:r>
          </w:p>
        </w:tc>
        <w:tc>
          <w:tcPr>
            <w:tcW w:w="1514"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2018.5.13-</w:t>
            </w:r>
          </w:p>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2018.6.18</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02"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6</w:t>
            </w:r>
          </w:p>
        </w:tc>
        <w:tc>
          <w:tcPr>
            <w:tcW w:w="199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碳窑坪小流域综合治理</w:t>
            </w:r>
          </w:p>
        </w:tc>
        <w:tc>
          <w:tcPr>
            <w:tcW w:w="1971"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东寨镇李家圪洞、车道沟、碳窑坪、东寨、程家圪洞、窑子湾、坝沟湾、小西沟、石窑沟</w:t>
            </w:r>
          </w:p>
        </w:tc>
        <w:tc>
          <w:tcPr>
            <w:tcW w:w="319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新增水土保持综合治理面积14.82㎡，其中水保林6.54㎡，封禁治理面积8.16㎡</w:t>
            </w:r>
          </w:p>
        </w:tc>
        <w:tc>
          <w:tcPr>
            <w:tcW w:w="1514"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2016.10.29-</w:t>
            </w:r>
          </w:p>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2017.8.29</w:t>
            </w:r>
          </w:p>
        </w:tc>
      </w:tr>
      <w:bookmarkEnd w:id="7"/>
    </w:tbl>
    <w:p>
      <w:pPr>
        <w:pStyle w:val="5"/>
        <w:ind w:firstLine="560"/>
        <w:rPr>
          <w:rFonts w:hint="eastAsia"/>
        </w:rPr>
      </w:pPr>
      <w:r>
        <w:rPr>
          <w:rFonts w:hint="eastAsia"/>
          <w:lang w:eastAsia="zh-CN"/>
        </w:rPr>
        <w:t>（</w:t>
      </w:r>
      <w:r>
        <w:rPr>
          <w:rFonts w:hint="eastAsia"/>
          <w:lang w:val="en-US" w:eastAsia="zh-CN"/>
        </w:rPr>
        <w:t>三</w:t>
      </w:r>
      <w:r>
        <w:rPr>
          <w:rFonts w:hint="eastAsia"/>
          <w:lang w:eastAsia="zh-CN"/>
        </w:rPr>
        <w:t>）</w:t>
      </w:r>
      <w:r>
        <w:rPr>
          <w:rFonts w:hint="eastAsia"/>
          <w:lang w:val="en-US" w:eastAsia="zh-CN"/>
        </w:rPr>
        <w:t>项目</w:t>
      </w:r>
      <w:r>
        <w:rPr>
          <w:rFonts w:hint="eastAsia"/>
        </w:rPr>
        <w:t>资金投入和使用情况</w:t>
      </w:r>
    </w:p>
    <w:p>
      <w:bookmarkStart w:id="8" w:name="_Toc513218635"/>
      <w:bookmarkStart w:id="9" w:name="_Toc513731590"/>
      <w:bookmarkStart w:id="10" w:name="_Toc9124"/>
      <w:r>
        <w:rPr>
          <w:rFonts w:hint="eastAsia"/>
        </w:rPr>
        <w:t>（1）资金投入情况</w:t>
      </w:r>
    </w:p>
    <w:p>
      <w:r>
        <w:rPr>
          <w:rFonts w:hint="eastAsia"/>
        </w:rPr>
        <w:t>宁武县汾河治理事务中心2020年统筹整合财政资金为1,078.28万元，资金用于上述6个项目。</w:t>
      </w:r>
    </w:p>
    <w:bookmarkEnd w:id="8"/>
    <w:bookmarkEnd w:id="9"/>
    <w:bookmarkEnd w:id="10"/>
    <w:p>
      <w:r>
        <w:rPr>
          <w:rFonts w:hint="eastAsia"/>
        </w:rPr>
        <w:t>（2）资金使用情况</w:t>
      </w:r>
    </w:p>
    <w:p>
      <w:r>
        <w:rPr>
          <w:rFonts w:hint="eastAsia"/>
        </w:rPr>
        <w:t>宁武县汾河治理事务中心2020年统筹整合财政资金为1,078.28万元，截至评价基准日（2020年12月31日）实际支出1,027.35万元，结余50.93万元。</w:t>
      </w:r>
      <w:r>
        <w:rPr>
          <w:rFonts w:hint="eastAsia" w:hAnsi="宋体" w:cs="仿宋"/>
          <w:color w:val="000000"/>
        </w:rPr>
        <w:t>具体项目资金使用情况</w:t>
      </w:r>
      <w:r>
        <w:rPr>
          <w:rFonts w:hint="eastAsia"/>
        </w:rPr>
        <w:t>详见表1-2。</w:t>
      </w:r>
    </w:p>
    <w:p>
      <w:pPr>
        <w:pStyle w:val="2"/>
        <w:spacing w:before="0"/>
        <w:ind w:firstLine="0" w:firstLineChars="0"/>
        <w:jc w:val="center"/>
        <w:rPr>
          <w:rFonts w:ascii="宋体" w:hAnsi="宋体" w:eastAsia="宋体"/>
          <w:lang w:bidi="ar"/>
        </w:rPr>
      </w:pPr>
      <w:r>
        <w:rPr>
          <w:rFonts w:hint="eastAsia" w:ascii="宋体" w:hAnsi="宋体" w:eastAsia="宋体"/>
          <w:lang w:bidi="ar"/>
        </w:rPr>
        <w:t>表1-2 宁武县汾河治理事务中心2020年统筹整合资金使用统计表</w:t>
      </w:r>
    </w:p>
    <w:p>
      <w:pPr>
        <w:pStyle w:val="2"/>
        <w:spacing w:before="0" w:line="240" w:lineRule="auto"/>
        <w:ind w:firstLine="0" w:firstLineChars="0"/>
        <w:jc w:val="right"/>
        <w:rPr>
          <w:rFonts w:ascii="宋体" w:hAnsi="宋体" w:eastAsia="宋体"/>
        </w:rPr>
      </w:pPr>
      <w:r>
        <w:rPr>
          <w:rFonts w:hint="eastAsia" w:ascii="宋体" w:hAnsi="宋体" w:eastAsia="宋体"/>
          <w:lang w:bidi="ar"/>
        </w:rPr>
        <w:t>资金单位：万元</w:t>
      </w:r>
    </w:p>
    <w:tbl>
      <w:tblPr>
        <w:tblStyle w:val="16"/>
        <w:tblW w:w="8996" w:type="dxa"/>
        <w:jc w:val="center"/>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Layout w:type="fixed"/>
        <w:tblCellMar>
          <w:top w:w="0" w:type="dxa"/>
          <w:left w:w="0" w:type="dxa"/>
          <w:bottom w:w="0" w:type="dxa"/>
          <w:right w:w="0" w:type="dxa"/>
        </w:tblCellMar>
      </w:tblPr>
      <w:tblGrid>
        <w:gridCol w:w="915"/>
        <w:gridCol w:w="3987"/>
        <w:gridCol w:w="1364"/>
        <w:gridCol w:w="1364"/>
        <w:gridCol w:w="1366"/>
      </w:tblGrid>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blHeader/>
          <w:jc w:val="center"/>
        </w:trPr>
        <w:tc>
          <w:tcPr>
            <w:tcW w:w="915"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lang w:bidi="ar"/>
              </w:rPr>
            </w:pPr>
            <w:r>
              <w:rPr>
                <w:rFonts w:hint="eastAsia" w:ascii="宋体" w:hAnsi="宋体" w:eastAsia="宋体"/>
                <w:b/>
                <w:bCs/>
                <w:sz w:val="24"/>
                <w:lang w:bidi="ar"/>
              </w:rPr>
              <w:t>序号</w:t>
            </w:r>
          </w:p>
        </w:tc>
        <w:tc>
          <w:tcPr>
            <w:tcW w:w="3987"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lang w:bidi="ar"/>
              </w:rPr>
            </w:pPr>
            <w:r>
              <w:rPr>
                <w:rFonts w:hint="eastAsia" w:ascii="宋体" w:hAnsi="宋体" w:eastAsia="宋体"/>
                <w:b/>
                <w:bCs/>
                <w:sz w:val="24"/>
                <w:lang w:bidi="ar"/>
              </w:rPr>
              <w:t>项目名称</w:t>
            </w:r>
          </w:p>
        </w:tc>
        <w:tc>
          <w:tcPr>
            <w:tcW w:w="1364"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lang w:bidi="ar"/>
              </w:rPr>
              <w:t>预算数</w:t>
            </w:r>
          </w:p>
        </w:tc>
        <w:tc>
          <w:tcPr>
            <w:tcW w:w="1364"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lang w:bidi="ar"/>
              </w:rPr>
              <w:t>支出数</w:t>
            </w:r>
          </w:p>
        </w:tc>
        <w:tc>
          <w:tcPr>
            <w:tcW w:w="1366"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lang w:bidi="ar"/>
              </w:rPr>
              <w:t>结余数</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915" w:type="dxa"/>
            <w:tcMar>
              <w:top w:w="12" w:type="dxa"/>
              <w:left w:w="12" w:type="dxa"/>
              <w:right w:w="12" w:type="dxa"/>
            </w:tcMar>
            <w:vAlign w:val="center"/>
          </w:tcPr>
          <w:p>
            <w:pPr>
              <w:tabs>
                <w:tab w:val="left" w:pos="540"/>
              </w:tabs>
              <w:spacing w:line="240" w:lineRule="auto"/>
              <w:ind w:firstLine="0" w:firstLineChars="0"/>
              <w:jc w:val="center"/>
              <w:rPr>
                <w:rFonts w:ascii="宋体" w:hAnsi="宋体" w:eastAsia="宋体"/>
                <w:sz w:val="24"/>
                <w:lang w:bidi="ar"/>
              </w:rPr>
            </w:pPr>
            <w:r>
              <w:rPr>
                <w:rFonts w:hint="eastAsia" w:ascii="宋体" w:hAnsi="宋体" w:eastAsia="宋体"/>
                <w:sz w:val="24"/>
                <w:lang w:bidi="ar"/>
              </w:rPr>
              <w:t>1</w:t>
            </w:r>
          </w:p>
        </w:tc>
        <w:tc>
          <w:tcPr>
            <w:tcW w:w="3987"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汾河源头生态治理工程（水土保持）</w:t>
            </w:r>
          </w:p>
        </w:tc>
        <w:tc>
          <w:tcPr>
            <w:tcW w:w="1364"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400</w:t>
            </w:r>
          </w:p>
        </w:tc>
        <w:tc>
          <w:tcPr>
            <w:tcW w:w="1364" w:type="dxa"/>
            <w:tcMar>
              <w:top w:w="12" w:type="dxa"/>
              <w:left w:w="12" w:type="dxa"/>
              <w:right w:w="12" w:type="dxa"/>
            </w:tcMar>
            <w:vAlign w:val="center"/>
          </w:tcPr>
          <w:p>
            <w:pPr>
              <w:widowControl/>
              <w:spacing w:line="240" w:lineRule="auto"/>
              <w:ind w:firstLine="0" w:firstLineChars="0"/>
              <w:jc w:val="center"/>
              <w:textAlignment w:val="center"/>
              <w:rPr>
                <w:rFonts w:ascii="宋体" w:hAnsi="宋体" w:eastAsia="宋体" w:cs="宋体"/>
                <w:b/>
                <w:bCs/>
                <w:color w:val="000000"/>
                <w:sz w:val="22"/>
                <w:szCs w:val="22"/>
              </w:rPr>
            </w:pPr>
            <w:r>
              <w:rPr>
                <w:rFonts w:hint="eastAsia" w:ascii="宋体" w:hAnsi="宋体" w:eastAsia="宋体"/>
                <w:sz w:val="24"/>
                <w:lang w:bidi="ar"/>
              </w:rPr>
              <w:t>399.89</w:t>
            </w:r>
          </w:p>
        </w:tc>
        <w:tc>
          <w:tcPr>
            <w:tcW w:w="1366"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0.11</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915"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2</w:t>
            </w:r>
          </w:p>
        </w:tc>
        <w:tc>
          <w:tcPr>
            <w:tcW w:w="3987"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汾河源头生态治理工程（河道治理）</w:t>
            </w:r>
          </w:p>
        </w:tc>
        <w:tc>
          <w:tcPr>
            <w:tcW w:w="1364"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449</w:t>
            </w:r>
          </w:p>
        </w:tc>
        <w:tc>
          <w:tcPr>
            <w:tcW w:w="1364" w:type="dxa"/>
            <w:tcMar>
              <w:top w:w="12" w:type="dxa"/>
              <w:left w:w="12" w:type="dxa"/>
              <w:right w:w="12" w:type="dxa"/>
            </w:tcMar>
            <w:vAlign w:val="center"/>
          </w:tcPr>
          <w:p>
            <w:pPr>
              <w:widowControl/>
              <w:spacing w:line="240" w:lineRule="auto"/>
              <w:ind w:firstLine="0" w:firstLineChars="0"/>
              <w:jc w:val="center"/>
              <w:textAlignment w:val="center"/>
              <w:rPr>
                <w:rFonts w:ascii="宋体" w:hAnsi="宋体" w:eastAsia="宋体" w:cs="宋体"/>
                <w:b/>
                <w:bCs/>
                <w:color w:val="000000"/>
                <w:sz w:val="22"/>
                <w:szCs w:val="22"/>
              </w:rPr>
            </w:pPr>
            <w:r>
              <w:rPr>
                <w:rFonts w:hint="eastAsia" w:ascii="宋体" w:hAnsi="宋体" w:eastAsia="宋体"/>
                <w:sz w:val="24"/>
                <w:lang w:bidi="ar"/>
              </w:rPr>
              <w:t>448.87</w:t>
            </w:r>
          </w:p>
        </w:tc>
        <w:tc>
          <w:tcPr>
            <w:tcW w:w="1366"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0.13</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915" w:type="dxa"/>
            <w:tcMar>
              <w:top w:w="12" w:type="dxa"/>
              <w:left w:w="12" w:type="dxa"/>
              <w:right w:w="12" w:type="dxa"/>
            </w:tcMar>
            <w:vAlign w:val="center"/>
          </w:tcPr>
          <w:p>
            <w:pPr>
              <w:spacing w:line="240" w:lineRule="auto"/>
              <w:ind w:firstLine="0" w:firstLineChars="0"/>
              <w:jc w:val="center"/>
              <w:rPr>
                <w:rFonts w:ascii="宋体" w:hAnsi="宋体" w:eastAsia="宋体" w:cs="仿宋_GB2312"/>
                <w:sz w:val="24"/>
                <w:lang w:bidi="ar"/>
              </w:rPr>
            </w:pPr>
            <w:r>
              <w:rPr>
                <w:rFonts w:hint="eastAsia" w:ascii="宋体" w:hAnsi="宋体" w:eastAsia="宋体" w:cs="仿宋_GB2312"/>
                <w:sz w:val="24"/>
                <w:lang w:bidi="ar"/>
              </w:rPr>
              <w:t>3</w:t>
            </w:r>
          </w:p>
        </w:tc>
        <w:tc>
          <w:tcPr>
            <w:tcW w:w="3987"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大西沟流域水土保持综合治理</w:t>
            </w:r>
          </w:p>
        </w:tc>
        <w:tc>
          <w:tcPr>
            <w:tcW w:w="1364"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51.02</w:t>
            </w:r>
          </w:p>
        </w:tc>
        <w:tc>
          <w:tcPr>
            <w:tcW w:w="1364"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17.71</w:t>
            </w:r>
          </w:p>
        </w:tc>
        <w:tc>
          <w:tcPr>
            <w:tcW w:w="1366"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33.31</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915" w:type="dxa"/>
            <w:tcMar>
              <w:top w:w="12" w:type="dxa"/>
              <w:left w:w="12" w:type="dxa"/>
              <w:right w:w="12" w:type="dxa"/>
            </w:tcMar>
            <w:vAlign w:val="center"/>
          </w:tcPr>
          <w:p>
            <w:pPr>
              <w:spacing w:line="240" w:lineRule="auto"/>
              <w:ind w:firstLine="0" w:firstLineChars="0"/>
              <w:jc w:val="center"/>
              <w:rPr>
                <w:rFonts w:ascii="宋体" w:hAnsi="宋体" w:eastAsia="宋体" w:cs="仿宋_GB2312"/>
                <w:sz w:val="24"/>
                <w:lang w:bidi="ar"/>
              </w:rPr>
            </w:pPr>
            <w:r>
              <w:rPr>
                <w:rFonts w:hint="eastAsia" w:ascii="宋体" w:hAnsi="宋体" w:eastAsia="宋体" w:cs="仿宋_GB2312"/>
                <w:sz w:val="24"/>
                <w:lang w:bidi="ar"/>
              </w:rPr>
              <w:t>4</w:t>
            </w:r>
          </w:p>
        </w:tc>
        <w:tc>
          <w:tcPr>
            <w:tcW w:w="3987"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洪河源头小流域水土保持综合治理</w:t>
            </w:r>
          </w:p>
        </w:tc>
        <w:tc>
          <w:tcPr>
            <w:tcW w:w="1364"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80</w:t>
            </w:r>
          </w:p>
        </w:tc>
        <w:tc>
          <w:tcPr>
            <w:tcW w:w="1364"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80</w:t>
            </w:r>
          </w:p>
        </w:tc>
        <w:tc>
          <w:tcPr>
            <w:tcW w:w="1366"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0</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915" w:type="dxa"/>
            <w:tcMar>
              <w:top w:w="12" w:type="dxa"/>
              <w:left w:w="12" w:type="dxa"/>
              <w:right w:w="12" w:type="dxa"/>
            </w:tcMar>
            <w:vAlign w:val="center"/>
          </w:tcPr>
          <w:p>
            <w:pPr>
              <w:spacing w:line="240" w:lineRule="auto"/>
              <w:ind w:firstLine="0" w:firstLineChars="0"/>
              <w:jc w:val="center"/>
              <w:rPr>
                <w:rFonts w:ascii="宋体" w:hAnsi="宋体" w:eastAsia="宋体" w:cs="仿宋_GB2312"/>
                <w:sz w:val="24"/>
                <w:lang w:bidi="ar"/>
              </w:rPr>
            </w:pPr>
            <w:r>
              <w:rPr>
                <w:rFonts w:hint="eastAsia" w:ascii="宋体" w:hAnsi="宋体" w:eastAsia="宋体" w:cs="仿宋_GB2312"/>
                <w:sz w:val="24"/>
                <w:lang w:bidi="ar"/>
              </w:rPr>
              <w:t>5</w:t>
            </w:r>
          </w:p>
        </w:tc>
        <w:tc>
          <w:tcPr>
            <w:tcW w:w="3987"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瓦窑沟流域水土保持综合治理</w:t>
            </w:r>
          </w:p>
        </w:tc>
        <w:tc>
          <w:tcPr>
            <w:tcW w:w="1364"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38.26</w:t>
            </w:r>
          </w:p>
        </w:tc>
        <w:tc>
          <w:tcPr>
            <w:tcW w:w="1364" w:type="dxa"/>
            <w:tcMar>
              <w:top w:w="12" w:type="dxa"/>
              <w:left w:w="12" w:type="dxa"/>
              <w:right w:w="12" w:type="dxa"/>
            </w:tcMar>
            <w:vAlign w:val="center"/>
          </w:tcPr>
          <w:p>
            <w:pPr>
              <w:widowControl/>
              <w:spacing w:line="240" w:lineRule="auto"/>
              <w:ind w:firstLine="0" w:firstLineChars="0"/>
              <w:jc w:val="center"/>
              <w:textAlignment w:val="center"/>
              <w:rPr>
                <w:rFonts w:ascii="宋体" w:hAnsi="宋体" w:eastAsia="宋体" w:cs="宋体"/>
                <w:b/>
                <w:bCs/>
                <w:color w:val="000000"/>
                <w:sz w:val="22"/>
                <w:szCs w:val="22"/>
              </w:rPr>
            </w:pPr>
            <w:r>
              <w:rPr>
                <w:rFonts w:hint="eastAsia" w:ascii="宋体" w:hAnsi="宋体" w:eastAsia="宋体"/>
                <w:sz w:val="24"/>
                <w:lang w:bidi="ar"/>
              </w:rPr>
              <w:t>20.88</w:t>
            </w:r>
          </w:p>
        </w:tc>
        <w:tc>
          <w:tcPr>
            <w:tcW w:w="1366"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17.38</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915" w:type="dxa"/>
            <w:tcMar>
              <w:top w:w="12" w:type="dxa"/>
              <w:left w:w="12" w:type="dxa"/>
              <w:right w:w="12" w:type="dxa"/>
            </w:tcMar>
            <w:vAlign w:val="center"/>
          </w:tcPr>
          <w:p>
            <w:pPr>
              <w:spacing w:line="240" w:lineRule="auto"/>
              <w:ind w:firstLine="0" w:firstLineChars="0"/>
              <w:jc w:val="center"/>
              <w:rPr>
                <w:rFonts w:ascii="宋体" w:hAnsi="宋体" w:eastAsia="宋体" w:cs="仿宋_GB2312"/>
                <w:sz w:val="24"/>
                <w:lang w:bidi="ar"/>
              </w:rPr>
            </w:pPr>
            <w:r>
              <w:rPr>
                <w:rFonts w:hint="eastAsia" w:ascii="宋体" w:hAnsi="宋体" w:eastAsia="宋体" w:cs="仿宋_GB2312"/>
                <w:sz w:val="24"/>
                <w:lang w:bidi="ar"/>
              </w:rPr>
              <w:t>6</w:t>
            </w:r>
          </w:p>
        </w:tc>
        <w:tc>
          <w:tcPr>
            <w:tcW w:w="3987"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碳窑坪小流域综合治理</w:t>
            </w:r>
          </w:p>
        </w:tc>
        <w:tc>
          <w:tcPr>
            <w:tcW w:w="1364"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60</w:t>
            </w:r>
          </w:p>
        </w:tc>
        <w:tc>
          <w:tcPr>
            <w:tcW w:w="1364"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60</w:t>
            </w:r>
          </w:p>
        </w:tc>
        <w:tc>
          <w:tcPr>
            <w:tcW w:w="1366"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0</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4902" w:type="dxa"/>
            <w:gridSpan w:val="2"/>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合计</w:t>
            </w:r>
          </w:p>
        </w:tc>
        <w:tc>
          <w:tcPr>
            <w:tcW w:w="1364"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1,078.28</w:t>
            </w:r>
          </w:p>
        </w:tc>
        <w:tc>
          <w:tcPr>
            <w:tcW w:w="1364"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1,027.35</w:t>
            </w:r>
          </w:p>
        </w:tc>
        <w:tc>
          <w:tcPr>
            <w:tcW w:w="1366" w:type="dxa"/>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50.93</w:t>
            </w:r>
          </w:p>
        </w:tc>
      </w:tr>
    </w:tbl>
    <w:p>
      <w:pPr>
        <w:pStyle w:val="5"/>
        <w:ind w:firstLine="560"/>
      </w:pPr>
      <w:bookmarkStart w:id="11" w:name="_Toc900"/>
      <w:bookmarkStart w:id="12" w:name="_Toc11192"/>
      <w:bookmarkStart w:id="13" w:name="_Toc9016"/>
      <w:r>
        <w:rPr>
          <w:rFonts w:hint="eastAsia"/>
        </w:rPr>
        <w:t>（</w:t>
      </w:r>
      <w:r>
        <w:rPr>
          <w:rFonts w:hint="eastAsia"/>
          <w:lang w:val="en-US" w:eastAsia="zh-CN"/>
        </w:rPr>
        <w:t>四</w:t>
      </w:r>
      <w:r>
        <w:rPr>
          <w:rFonts w:hint="eastAsia"/>
        </w:rPr>
        <w:t>）项目绩效目标</w:t>
      </w:r>
      <w:bookmarkEnd w:id="11"/>
      <w:bookmarkEnd w:id="12"/>
    </w:p>
    <w:p>
      <w:pPr>
        <w:ind w:firstLine="562"/>
        <w:outlineLvl w:val="2"/>
        <w:rPr>
          <w:b/>
          <w:bCs/>
          <w:szCs w:val="32"/>
        </w:rPr>
      </w:pPr>
      <w:r>
        <w:rPr>
          <w:rFonts w:hint="eastAsia"/>
          <w:b/>
          <w:bCs/>
          <w:szCs w:val="32"/>
        </w:rPr>
        <w:t>1.总体目标</w:t>
      </w:r>
    </w:p>
    <w:p>
      <w:r>
        <w:rPr>
          <w:rFonts w:hint="eastAsia"/>
        </w:rPr>
        <w:t>通过开展各项水土保持工程，涵养水源，调节小气候，改善宁武县生态环境和农业生产基础条件，减少水、旱、风沙等自然灾害。</w:t>
      </w:r>
    </w:p>
    <w:p>
      <w:pPr>
        <w:ind w:firstLine="562"/>
        <w:outlineLvl w:val="2"/>
        <w:rPr>
          <w:b/>
          <w:bCs/>
          <w:szCs w:val="32"/>
        </w:rPr>
      </w:pPr>
      <w:r>
        <w:rPr>
          <w:rFonts w:hint="eastAsia"/>
          <w:b/>
          <w:bCs/>
          <w:szCs w:val="32"/>
        </w:rPr>
        <w:t>2.具体目标</w:t>
      </w:r>
    </w:p>
    <w:p>
      <w:r>
        <w:rPr>
          <w:rFonts w:hint="eastAsia"/>
        </w:rPr>
        <w:t>按照《关于印发宁武县2020年统筹整合使用财政资金开展脱贫攻坚调整实施方案的通知》（宁脱贫攻坚部〔2020〕20号）文件，项目绩效目标梳理详见表1-3。</w:t>
      </w:r>
    </w:p>
    <w:p>
      <w:pPr>
        <w:pStyle w:val="2"/>
        <w:spacing w:before="0"/>
        <w:ind w:firstLine="0" w:firstLineChars="0"/>
        <w:jc w:val="center"/>
        <w:rPr>
          <w:rFonts w:ascii="宋体" w:hAnsi="宋体" w:eastAsia="宋体"/>
          <w:lang w:bidi="ar"/>
        </w:rPr>
      </w:pPr>
      <w:r>
        <w:rPr>
          <w:rFonts w:hint="eastAsia" w:ascii="宋体" w:hAnsi="宋体" w:eastAsia="宋体"/>
          <w:lang w:bidi="ar"/>
        </w:rPr>
        <w:t>表1-3 宁武县汾河治理事务中心项目绩效目标统计表</w:t>
      </w:r>
    </w:p>
    <w:tbl>
      <w:tblPr>
        <w:tblStyle w:val="16"/>
        <w:tblW w:w="9058" w:type="dxa"/>
        <w:jc w:val="center"/>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Layout w:type="fixed"/>
        <w:tblCellMar>
          <w:top w:w="0" w:type="dxa"/>
          <w:left w:w="0" w:type="dxa"/>
          <w:bottom w:w="0" w:type="dxa"/>
          <w:right w:w="0" w:type="dxa"/>
        </w:tblCellMar>
      </w:tblPr>
      <w:tblGrid>
        <w:gridCol w:w="793"/>
        <w:gridCol w:w="2240"/>
        <w:gridCol w:w="840"/>
        <w:gridCol w:w="3520"/>
        <w:gridCol w:w="1665"/>
      </w:tblGrid>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blHeader/>
          <w:jc w:val="center"/>
        </w:trPr>
        <w:tc>
          <w:tcPr>
            <w:tcW w:w="793"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序号</w:t>
            </w:r>
          </w:p>
        </w:tc>
        <w:tc>
          <w:tcPr>
            <w:tcW w:w="2240"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项目名称</w:t>
            </w:r>
          </w:p>
        </w:tc>
        <w:tc>
          <w:tcPr>
            <w:tcW w:w="840"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b/>
                <w:color w:val="000000"/>
                <w:sz w:val="24"/>
              </w:rPr>
            </w:pPr>
            <w:r>
              <w:rPr>
                <w:rFonts w:hint="eastAsia" w:ascii="宋体" w:hAnsi="宋体" w:eastAsia="宋体" w:cs="宋体"/>
                <w:b/>
                <w:color w:val="000000"/>
                <w:sz w:val="24"/>
              </w:rPr>
              <w:t>维度</w:t>
            </w:r>
          </w:p>
        </w:tc>
        <w:tc>
          <w:tcPr>
            <w:tcW w:w="3520"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目标</w:t>
            </w:r>
          </w:p>
        </w:tc>
        <w:tc>
          <w:tcPr>
            <w:tcW w:w="1665"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目标值</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w:t>
            </w:r>
          </w:p>
        </w:tc>
        <w:tc>
          <w:tcPr>
            <w:tcW w:w="22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汾河源头生态治理工程（水土保持）</w:t>
            </w:r>
          </w:p>
        </w:tc>
        <w:tc>
          <w:tcPr>
            <w:tcW w:w="8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产出</w:t>
            </w: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治理面积</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51.73㎡</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布置林草措施面积</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1.90㎡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封禁治理面积</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20.25㎡</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保土耕作面积</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15.58㎡</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效益</w:t>
            </w: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水土流失治理度</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82.60%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林草覆盖增加</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33.32%</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人年均增收</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800元</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w:t>
            </w:r>
          </w:p>
        </w:tc>
        <w:tc>
          <w:tcPr>
            <w:tcW w:w="22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汾河源头生态治理工程（河道治理）</w:t>
            </w:r>
          </w:p>
        </w:tc>
        <w:tc>
          <w:tcPr>
            <w:tcW w:w="8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产出</w:t>
            </w: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河道治理总长度</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5.34km</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河道清理疏浚</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5.00km</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源头坡面及周边整治面积</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634.33亩</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树化石展厅周边坡面绿化</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100.50亩</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1037m通道两侧栽植行道树</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346棵</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干流潘家湾段生态湿地</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26.16亩</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汾河源头旧堰修复</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9座</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二马营护堤林</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效益</w:t>
            </w: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达到河道防洪标准</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10年一遇</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净化汾河源头空气、土体、水体</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净化</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人均劳务收入</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800元</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3</w:t>
            </w:r>
          </w:p>
        </w:tc>
        <w:tc>
          <w:tcPr>
            <w:tcW w:w="22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大西沟流域水土保持综合治理</w:t>
            </w:r>
          </w:p>
        </w:tc>
        <w:tc>
          <w:tcPr>
            <w:tcW w:w="8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产出</w:t>
            </w: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新建拦沙堰</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2座</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达到洪水标准</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20年一遇</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淤积年限</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5年</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沙道左岸修建生产道路</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795米</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拦沙堰周围荒坡地种植水保林</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38.88公顷</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rPr>
            </w:pPr>
            <w:r>
              <w:rPr>
                <w:rFonts w:hint="eastAsia" w:ascii="宋体" w:hAnsi="宋体" w:eastAsia="宋体" w:cs="宋体"/>
                <w:color w:val="000000"/>
                <w:sz w:val="24"/>
              </w:rPr>
              <w:t>效益</w:t>
            </w: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拦蓄泥沙</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1.58万m³</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lang w:bidi="ar"/>
              </w:rPr>
              <w:t>新增水保林</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lang w:bidi="ar"/>
              </w:rPr>
              <w:t>38.80公顷</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lang w:bidi="ar"/>
              </w:rPr>
              <w:t>年实现产值</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lang w:bidi="ar"/>
              </w:rPr>
              <w:t>4.66万元</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4</w:t>
            </w:r>
          </w:p>
        </w:tc>
        <w:tc>
          <w:tcPr>
            <w:tcW w:w="22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洪河源头小流域水土保持综合治理</w:t>
            </w:r>
          </w:p>
        </w:tc>
        <w:tc>
          <w:tcPr>
            <w:tcW w:w="8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产出</w:t>
            </w: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营造经济林</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0.15㎡</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乔木林</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1.12㎡</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灌木林</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8.42㎡</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封禁治理面积</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10.05㎡</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rPr>
            </w:pPr>
            <w:r>
              <w:rPr>
                <w:rFonts w:hint="eastAsia" w:ascii="宋体" w:hAnsi="宋体" w:eastAsia="宋体" w:cs="宋体"/>
                <w:color w:val="000000"/>
                <w:sz w:val="24"/>
              </w:rPr>
              <w:t>效益</w:t>
            </w: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年新增蓄水效益</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21.21万</w:t>
            </w:r>
            <w:r>
              <w:rPr>
                <w:rFonts w:hint="eastAsia" w:ascii="宋体" w:hAnsi="宋体" w:eastAsia="宋体" w:cs="宋体"/>
                <w:sz w:val="24"/>
                <w:lang w:bidi="ar"/>
              </w:rPr>
              <w:t>㎡</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lang w:bidi="ar"/>
              </w:rPr>
              <w:t>保土效益</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lang w:bidi="ar"/>
              </w:rPr>
              <w:t>5.97万吨</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lang w:bidi="ar"/>
              </w:rPr>
              <w:t>水土流失治理度</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lang w:bidi="ar"/>
              </w:rPr>
              <w:t>41.37%</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lang w:bidi="ar"/>
              </w:rPr>
              <w:t>农民人均收入增加</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lang w:bidi="ar"/>
              </w:rPr>
              <w:t>523元</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5</w:t>
            </w:r>
          </w:p>
        </w:tc>
        <w:tc>
          <w:tcPr>
            <w:tcW w:w="22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瓦窑沟流域水土保持综合治理</w:t>
            </w:r>
          </w:p>
        </w:tc>
        <w:tc>
          <w:tcPr>
            <w:tcW w:w="8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产出</w:t>
            </w: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修建拦沙堰</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1座</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修建拦沙坎</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4座</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浆砌石排洪渠</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310.40m</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铅丝石笼排洪渠</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20m</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水保经济林</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1.10公顷</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效益</w:t>
            </w: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拦蓄泥沙</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920m³</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新增水保林</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1.10公顷</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年实现产值</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1.39万元</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6</w:t>
            </w:r>
          </w:p>
        </w:tc>
        <w:tc>
          <w:tcPr>
            <w:tcW w:w="22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碳窑坪小流域综合治理</w:t>
            </w:r>
          </w:p>
        </w:tc>
        <w:tc>
          <w:tcPr>
            <w:tcW w:w="8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产出</w:t>
            </w: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水保林</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6.54㎡</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封禁治理面积</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8.16㎡</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效益</w:t>
            </w: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水土保持治理度</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81.90%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793"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22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84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p>
        </w:tc>
        <w:tc>
          <w:tcPr>
            <w:tcW w:w="352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改善项目区生态环境</w:t>
            </w:r>
          </w:p>
        </w:tc>
        <w:tc>
          <w:tcPr>
            <w:tcW w:w="1665"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sz w:val="24"/>
              </w:rPr>
              <w:t>有效改善</w:t>
            </w:r>
          </w:p>
        </w:tc>
      </w:tr>
    </w:tbl>
    <w:p>
      <w:pPr>
        <w:pStyle w:val="4"/>
        <w:spacing w:before="120" w:beforeLines="50"/>
        <w:ind w:firstLine="560"/>
      </w:pPr>
      <w:bookmarkStart w:id="14" w:name="_Toc12148"/>
      <w:r>
        <w:rPr>
          <w:rFonts w:hint="eastAsia"/>
        </w:rPr>
        <w:t>二、绩效评价工作情况</w:t>
      </w:r>
      <w:bookmarkEnd w:id="13"/>
      <w:bookmarkEnd w:id="14"/>
    </w:p>
    <w:p>
      <w:pPr>
        <w:pStyle w:val="5"/>
        <w:ind w:firstLine="560"/>
      </w:pPr>
      <w:bookmarkStart w:id="15" w:name="_Toc26925"/>
      <w:bookmarkStart w:id="16" w:name="_Toc453771161"/>
      <w:bookmarkStart w:id="17" w:name="_Toc7828"/>
      <w:bookmarkStart w:id="18" w:name="_Toc25672"/>
      <w:bookmarkStart w:id="19" w:name="_Toc15520"/>
      <w:bookmarkStart w:id="20" w:name="_Toc5521"/>
      <w:bookmarkStart w:id="21" w:name="_Toc6442"/>
      <w:bookmarkStart w:id="22" w:name="_Toc16373"/>
      <w:bookmarkStart w:id="23" w:name="_Toc29023"/>
      <w:bookmarkStart w:id="24" w:name="_Toc18140"/>
      <w:bookmarkStart w:id="25" w:name="_Toc12882"/>
      <w:bookmarkStart w:id="26" w:name="_Toc1863"/>
      <w:bookmarkStart w:id="27" w:name="_Toc453771162"/>
      <w:bookmarkStart w:id="28" w:name="_Toc5323"/>
      <w:bookmarkStart w:id="29" w:name="_Toc26830"/>
      <w:r>
        <w:rPr>
          <w:rFonts w:hint="eastAsia"/>
        </w:rPr>
        <w:t>（一）绩效评价目</w:t>
      </w:r>
      <w:bookmarkEnd w:id="15"/>
      <w:bookmarkEnd w:id="16"/>
      <w:r>
        <w:rPr>
          <w:rFonts w:hint="eastAsia"/>
        </w:rPr>
        <w:t>的</w:t>
      </w:r>
      <w:bookmarkEnd w:id="17"/>
      <w:bookmarkEnd w:id="18"/>
      <w:bookmarkEnd w:id="19"/>
      <w:bookmarkEnd w:id="20"/>
      <w:bookmarkEnd w:id="21"/>
      <w:bookmarkEnd w:id="22"/>
    </w:p>
    <w:p>
      <w:r>
        <w:rPr>
          <w:rFonts w:hint="eastAsia"/>
        </w:rPr>
        <w:t>根据绩效评价中发现的问题，分析原因，提出建议，为财政部门规范和加强财政专项扶贫资金管理，提高资金使用效益，科学配置资源，提高财政资金的使用效益，为合理安排以后年度财政预算安排提供重要的参考依据。</w:t>
      </w:r>
    </w:p>
    <w:p>
      <w:pPr>
        <w:pStyle w:val="5"/>
        <w:ind w:firstLine="560"/>
      </w:pPr>
      <w:bookmarkStart w:id="30" w:name="_Toc15562"/>
      <w:r>
        <w:rPr>
          <w:rFonts w:hint="eastAsia"/>
        </w:rPr>
        <w:t>（</w:t>
      </w:r>
      <w:r>
        <w:rPr>
          <w:rFonts w:hint="eastAsia"/>
          <w:lang w:val="en-US" w:eastAsia="zh-CN"/>
        </w:rPr>
        <w:t>二</w:t>
      </w:r>
      <w:r>
        <w:rPr>
          <w:rFonts w:hint="eastAsia"/>
        </w:rPr>
        <w:t>）评价对象和范围</w:t>
      </w:r>
      <w:bookmarkEnd w:id="23"/>
      <w:bookmarkEnd w:id="24"/>
      <w:bookmarkEnd w:id="25"/>
      <w:bookmarkEnd w:id="26"/>
      <w:bookmarkEnd w:id="27"/>
      <w:bookmarkEnd w:id="28"/>
      <w:bookmarkEnd w:id="29"/>
      <w:bookmarkEnd w:id="30"/>
    </w:p>
    <w:p>
      <w:r>
        <w:rPr>
          <w:rFonts w:hint="eastAsia"/>
        </w:rPr>
        <w:t>本次绩效评价的对象是宁武县汾河治理事务中心2020年统筹整合财政资金</w:t>
      </w:r>
      <w:r>
        <w:rPr>
          <w:rStyle w:val="19"/>
          <w:rFonts w:hint="eastAsia"/>
        </w:rPr>
        <w:t>1,027.346833</w:t>
      </w:r>
      <w:r>
        <w:rPr>
          <w:rFonts w:hint="eastAsia"/>
        </w:rPr>
        <w:t>万元，与此同时，对财政资金的监督、管理使用进行评价，根据评价结果，提出相关政策性意见。</w:t>
      </w:r>
    </w:p>
    <w:p>
      <w:r>
        <w:rPr>
          <w:rFonts w:hint="eastAsia"/>
        </w:rPr>
        <w:t>绩效评价范围为宁武县汾河治理事务中心2020年统筹整合财政资金产生的绩效以及为产生绩效所经历的各环节过程，具体绩效评价范围包括项目决策、过程、产出、效益。</w:t>
      </w:r>
    </w:p>
    <w:p>
      <w:pPr>
        <w:pStyle w:val="5"/>
        <w:ind w:firstLine="560"/>
      </w:pPr>
      <w:bookmarkStart w:id="31" w:name="_Toc15568"/>
      <w:bookmarkStart w:id="32" w:name="_Toc22851"/>
      <w:bookmarkStart w:id="33" w:name="_Toc32222"/>
      <w:bookmarkStart w:id="34" w:name="_Toc27629"/>
      <w:r>
        <w:rPr>
          <w:rFonts w:hint="eastAsia"/>
        </w:rPr>
        <w:t>（</w:t>
      </w:r>
      <w:r>
        <w:rPr>
          <w:rFonts w:hint="eastAsia"/>
          <w:lang w:val="en-US" w:eastAsia="zh-CN"/>
        </w:rPr>
        <w:t>三</w:t>
      </w:r>
      <w:r>
        <w:rPr>
          <w:rFonts w:hint="eastAsia"/>
        </w:rPr>
        <w:t>）</w:t>
      </w:r>
      <w:r>
        <w:rPr>
          <w:rFonts w:hint="eastAsia"/>
          <w:lang w:val="en-US" w:eastAsia="zh-CN"/>
        </w:rPr>
        <w:t>评价</w:t>
      </w:r>
      <w:r>
        <w:rPr>
          <w:rFonts w:hint="eastAsia"/>
        </w:rPr>
        <w:t>基准日</w:t>
      </w:r>
      <w:bookmarkEnd w:id="31"/>
      <w:bookmarkEnd w:id="32"/>
      <w:bookmarkEnd w:id="33"/>
      <w:bookmarkEnd w:id="34"/>
    </w:p>
    <w:p>
      <w:r>
        <w:rPr>
          <w:rFonts w:hint="eastAsia"/>
        </w:rPr>
        <w:t>根据本次绩效评价对象，绩效评价时段为2020年1月1日－2020年12月31日。</w:t>
      </w:r>
    </w:p>
    <w:p>
      <w:pPr>
        <w:pStyle w:val="2"/>
        <w:spacing w:before="0"/>
      </w:pPr>
      <w:r>
        <w:rPr>
          <w:rFonts w:hint="eastAsia"/>
        </w:rPr>
        <w:t>评价基准日是2020年12月31日。</w:t>
      </w:r>
    </w:p>
    <w:p>
      <w:pPr>
        <w:pStyle w:val="5"/>
        <w:ind w:firstLine="560"/>
      </w:pPr>
      <w:bookmarkStart w:id="35" w:name="_Toc30588"/>
      <w:bookmarkStart w:id="36" w:name="_Toc785"/>
      <w:bookmarkStart w:id="37" w:name="_Toc15506"/>
      <w:bookmarkStart w:id="38" w:name="_Toc18129"/>
      <w:r>
        <w:rPr>
          <w:rFonts w:hint="eastAsia"/>
        </w:rPr>
        <w:t>（</w:t>
      </w:r>
      <w:r>
        <w:rPr>
          <w:rFonts w:hint="eastAsia"/>
          <w:lang w:val="en-US" w:eastAsia="zh-CN"/>
        </w:rPr>
        <w:t>四</w:t>
      </w:r>
      <w:r>
        <w:rPr>
          <w:rFonts w:hint="eastAsia"/>
        </w:rPr>
        <w:t>）绩效评价指标体系</w:t>
      </w:r>
      <w:bookmarkEnd w:id="35"/>
      <w:bookmarkEnd w:id="36"/>
      <w:bookmarkEnd w:id="37"/>
      <w:bookmarkEnd w:id="38"/>
    </w:p>
    <w:p>
      <w:pPr>
        <w:pStyle w:val="6"/>
        <w:ind w:firstLine="562"/>
      </w:pPr>
      <w:r>
        <w:rPr>
          <w:rFonts w:hint="eastAsia"/>
        </w:rPr>
        <w:t>1.指标体系设计思路</w:t>
      </w:r>
    </w:p>
    <w:p>
      <w:pPr>
        <w:pStyle w:val="14"/>
        <w:spacing w:beforeAutospacing="0" w:afterAutospacing="0"/>
        <w:rPr>
          <w:rFonts w:hAnsi="仿宋_GB2312" w:cs="仿宋_GB2312"/>
          <w:color w:val="000000"/>
          <w:sz w:val="28"/>
          <w:szCs w:val="27"/>
        </w:rPr>
      </w:pPr>
      <w:r>
        <w:rPr>
          <w:rFonts w:hint="eastAsia" w:hAnsi="仿宋_GB2312" w:cs="仿宋_GB2312"/>
          <w:color w:val="000000"/>
          <w:sz w:val="28"/>
          <w:szCs w:val="27"/>
        </w:rPr>
        <w:t>参照绩效评价的基本原理、原则和项目特点，评价组结合《财政支出绩效评价管理办法》（财预〔2020〕10号）、《山西省财政厅关于印发 &lt;省级项目支出绩效评价管理办法&gt;的通知》（晋财绩〔2020〕17号）等文件的要求，从决策类（包括项目立项、绩效目标、资金投入）、过程类（包括资金管理、组织实施）、产出类（包括产出数量、产出质量、产出时效、产出成本）、效益类（包括项目效益、可持续性）四个维度进行评价。</w:t>
      </w:r>
    </w:p>
    <w:p>
      <w:pPr>
        <w:pStyle w:val="6"/>
        <w:ind w:firstLine="562"/>
      </w:pPr>
      <w:r>
        <w:rPr>
          <w:rFonts w:hint="eastAsia"/>
        </w:rPr>
        <w:t>2.指标体系具体内容</w:t>
      </w:r>
    </w:p>
    <w:p>
      <w:pPr>
        <w:pStyle w:val="14"/>
        <w:spacing w:beforeAutospacing="0" w:afterAutospacing="0"/>
        <w:jc w:val="both"/>
        <w:rPr>
          <w:rFonts w:hAnsi="仿宋_GB2312" w:cs="仿宋_GB2312"/>
          <w:color w:val="000000"/>
          <w:sz w:val="28"/>
          <w:szCs w:val="27"/>
        </w:rPr>
      </w:pPr>
      <w:r>
        <w:rPr>
          <w:rFonts w:hint="eastAsia" w:hAnsi="仿宋_GB2312" w:cs="仿宋_GB2312"/>
          <w:color w:val="000000"/>
          <w:sz w:val="28"/>
          <w:szCs w:val="27"/>
        </w:rPr>
        <w:t>指标体系由4项一级指标、13项二级指标、22项三级指标构成。数据主要来源于政策文件、制度文件、档案资料、基础表、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制度执行有效性。产出类指标占权重分30分，从产出数量、产出质量、产出时效、产出成本四个角度考核项目完成情况、项目质量达标情况、项目完成时效、项目成本节约率。效益类指标占权重分30分，从项目的经济效益、社会效益、可持续影响、满意度进行考核。</w:t>
      </w:r>
    </w:p>
    <w:p>
      <w:pPr>
        <w:pStyle w:val="6"/>
        <w:spacing w:before="120" w:beforeLines="50"/>
        <w:ind w:firstLine="562"/>
      </w:pPr>
      <w:r>
        <w:rPr>
          <w:rFonts w:hint="eastAsia"/>
        </w:rPr>
        <w:t>3.绩效评价等级</w:t>
      </w:r>
    </w:p>
    <w:p>
      <w:pPr>
        <w:rPr>
          <w:rFonts w:hAnsi="仿宋" w:cs="仿宋"/>
          <w:bCs/>
        </w:rPr>
      </w:pPr>
      <w:r>
        <w:rPr>
          <w:rFonts w:hint="eastAsia" w:hAnsi="仿宋" w:cs="仿宋"/>
          <w:bCs/>
        </w:rPr>
        <w:t>财政资金的绩效评价结果实行百分制，根据不同得分将评价结果划分为四个等级，分别为：90（含）-100分为优，80（含）-90分为良，60（含）-80分为中，60分以下为差。</w:t>
      </w:r>
    </w:p>
    <w:p>
      <w:pPr>
        <w:pStyle w:val="5"/>
        <w:ind w:firstLine="560"/>
      </w:pPr>
      <w:bookmarkStart w:id="39" w:name="_Toc29241"/>
      <w:bookmarkStart w:id="40" w:name="_Toc11646"/>
      <w:bookmarkStart w:id="41" w:name="_Toc28976"/>
      <w:bookmarkStart w:id="42" w:name="_Toc28369"/>
      <w:bookmarkStart w:id="43" w:name="_Toc26799"/>
      <w:r>
        <w:rPr>
          <w:rFonts w:hint="eastAsia"/>
        </w:rPr>
        <w:t>（</w:t>
      </w:r>
      <w:r>
        <w:rPr>
          <w:rFonts w:hint="eastAsia"/>
          <w:lang w:val="en-US" w:eastAsia="zh-CN"/>
        </w:rPr>
        <w:t>五</w:t>
      </w:r>
      <w:r>
        <w:rPr>
          <w:rFonts w:hint="eastAsia"/>
        </w:rPr>
        <w:t>）绩效评价工作过程</w:t>
      </w:r>
      <w:bookmarkEnd w:id="39"/>
      <w:bookmarkEnd w:id="40"/>
      <w:bookmarkEnd w:id="41"/>
      <w:bookmarkEnd w:id="42"/>
      <w:bookmarkEnd w:id="43"/>
    </w:p>
    <w:p>
      <w:pPr>
        <w:rPr>
          <w:rFonts w:hAnsi="仿宋" w:cs="仿宋"/>
          <w:bCs/>
        </w:rPr>
      </w:pPr>
      <w:r>
        <w:rPr>
          <w:rFonts w:hAnsi="仿宋" w:cs="仿宋"/>
          <w:bCs/>
        </w:rPr>
        <w:t>按照</w:t>
      </w:r>
      <w:r>
        <w:rPr>
          <w:rFonts w:hint="eastAsia" w:hAnsi="仿宋" w:cs="仿宋"/>
          <w:bCs/>
        </w:rPr>
        <w:t>宁武县财政局</w:t>
      </w:r>
      <w:r>
        <w:rPr>
          <w:rFonts w:hAnsi="仿宋" w:cs="仿宋"/>
          <w:bCs/>
        </w:rPr>
        <w:t>的委托要求，我公司高度重视，积极筹备，成立项目领导组负责评价过程的协调和督导。领导组下设评价工作组，集合注册会计师、绩效评价师等多个专业于一体，切实结合本项目的特点，在实地调研阶段，设置现场评价小组，负责绩效评价方案的制定、资料收集整理、拟定评价指标、细化评分标准、开展社会调查、进行对象访谈、评价报告的撰写、审核和修改等具体工作。</w:t>
      </w:r>
    </w:p>
    <w:p>
      <w:pPr>
        <w:rPr>
          <w:rFonts w:hAnsi="仿宋" w:cs="仿宋"/>
          <w:bCs/>
        </w:rPr>
      </w:pPr>
      <w:r>
        <w:rPr>
          <w:rFonts w:hAnsi="仿宋" w:cs="仿宋"/>
          <w:bCs/>
        </w:rPr>
        <w:t>本次绩效评价工作分为评价准备阶段、组织实施阶段、报告撰写阶段三个阶段。</w:t>
      </w:r>
    </w:p>
    <w:p>
      <w:pPr>
        <w:pStyle w:val="6"/>
        <w:ind w:firstLine="562"/>
      </w:pPr>
      <w:r>
        <w:t>1.评价准备阶段</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制定项目评价实施方案。在收集、审核资料的基础上，根据项目具体情况制定绩效评价实施方案，并拟定评价指标体系，细化评分标准。</w:t>
      </w:r>
    </w:p>
    <w:p>
      <w:pPr>
        <w:pStyle w:val="6"/>
        <w:ind w:firstLine="562"/>
      </w:pPr>
      <w:r>
        <w:t>2.组织实施阶段</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（1）收集、审核资料。在全面收集资料的基础上，根据评价工作方案，对已收集的资料进行分类整理、审查和分析。</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（2）现场勘查。根据评价对象的特点和项目单位提供的数据资料，现场勘查项目建设情况及运营情况。</w:t>
      </w:r>
    </w:p>
    <w:p>
      <w:pPr>
        <w:pStyle w:val="14"/>
        <w:spacing w:beforeAutospacing="0" w:afterAutospacing="0"/>
        <w:jc w:val="both"/>
        <w:rPr>
          <w:rFonts w:hAnsi="仿宋_GB2312" w:cs="仿宋_GB2312"/>
          <w:color w:val="000000"/>
          <w:sz w:val="28"/>
          <w:szCs w:val="27"/>
        </w:rPr>
      </w:pPr>
      <w:r>
        <w:rPr>
          <w:rFonts w:hAnsi="仿宋_GB2312" w:cs="仿宋_GB2312"/>
          <w:color w:val="000000"/>
          <w:sz w:val="28"/>
          <w:szCs w:val="27"/>
        </w:rPr>
        <w:t>（3）综合评价。根据评价工作方案确定的评价指标、评价权重、评价标准和评价方法，对评价对象的情况进行全面的定量定性分析和综合评价，形成评价结论。</w:t>
      </w:r>
    </w:p>
    <w:p>
      <w:pPr>
        <w:pStyle w:val="6"/>
        <w:ind w:firstLine="562"/>
      </w:pPr>
      <w:r>
        <w:t>3.报告撰写阶段</w:t>
      </w:r>
    </w:p>
    <w:p>
      <w:pPr>
        <w:pStyle w:val="14"/>
        <w:spacing w:beforeAutospacing="0" w:afterAutospacing="0"/>
        <w:jc w:val="both"/>
        <w:rPr>
          <w:rFonts w:hAnsi="仿宋_GB2312" w:cs="仿宋_GB2312"/>
          <w:color w:val="000000"/>
          <w:sz w:val="28"/>
          <w:szCs w:val="27"/>
        </w:rPr>
      </w:pPr>
      <w:r>
        <w:rPr>
          <w:rFonts w:hAnsi="仿宋_GB2312" w:cs="仿宋_GB2312"/>
          <w:color w:val="000000"/>
          <w:sz w:val="28"/>
          <w:szCs w:val="27"/>
        </w:rPr>
        <w:t>（1）撰写评价报告。根据被评价单位的绩效评价情况，按要求撰写绩效评价报告。</w:t>
      </w:r>
    </w:p>
    <w:p>
      <w:pPr>
        <w:pStyle w:val="14"/>
        <w:spacing w:beforeAutospacing="0" w:afterAutospacing="0"/>
        <w:jc w:val="both"/>
        <w:rPr>
          <w:rFonts w:hAnsi="仿宋_GB2312" w:cs="仿宋_GB2312"/>
          <w:color w:val="000000"/>
          <w:sz w:val="28"/>
          <w:szCs w:val="27"/>
        </w:rPr>
      </w:pPr>
      <w:r>
        <w:rPr>
          <w:rFonts w:hAnsi="仿宋_GB2312" w:cs="仿宋_GB2312"/>
          <w:color w:val="000000"/>
          <w:sz w:val="28"/>
          <w:szCs w:val="27"/>
        </w:rPr>
        <w:t>（2）与被评价部门（单位）交换意见。与被评价部门（单位）交换意见后，对报告进行修改完善，形成评价结论，将评价报告报送</w:t>
      </w:r>
      <w:r>
        <w:rPr>
          <w:rFonts w:hint="eastAsia" w:hAnsi="仿宋_GB2312" w:cs="仿宋_GB2312"/>
          <w:color w:val="000000"/>
          <w:sz w:val="28"/>
          <w:szCs w:val="27"/>
        </w:rPr>
        <w:t>宁武县财政局</w:t>
      </w:r>
      <w:r>
        <w:rPr>
          <w:rFonts w:hAnsi="仿宋_GB2312" w:cs="仿宋_GB2312"/>
          <w:color w:val="000000"/>
          <w:sz w:val="28"/>
          <w:szCs w:val="27"/>
        </w:rPr>
        <w:t>审核。根据</w:t>
      </w:r>
      <w:r>
        <w:rPr>
          <w:rFonts w:hint="eastAsia" w:hAnsi="仿宋_GB2312" w:cs="仿宋_GB2312"/>
          <w:color w:val="000000"/>
          <w:sz w:val="28"/>
          <w:szCs w:val="27"/>
        </w:rPr>
        <w:t>被评价单位</w:t>
      </w:r>
      <w:r>
        <w:rPr>
          <w:rFonts w:hAnsi="仿宋_GB2312" w:cs="仿宋_GB2312"/>
          <w:color w:val="000000"/>
          <w:sz w:val="28"/>
          <w:szCs w:val="27"/>
        </w:rPr>
        <w:t>意见进一步完善、修改绩效评价报告，并提交正式绩效评价报告。</w:t>
      </w:r>
    </w:p>
    <w:p>
      <w:pPr>
        <w:pStyle w:val="4"/>
        <w:ind w:firstLine="560"/>
      </w:pPr>
      <w:bookmarkStart w:id="44" w:name="_Toc2515"/>
      <w:bookmarkStart w:id="45" w:name="_Toc9893"/>
      <w:bookmarkStart w:id="46" w:name="_Toc26968"/>
      <w:r>
        <w:rPr>
          <w:rFonts w:hint="eastAsia"/>
        </w:rPr>
        <w:t>三、</w:t>
      </w:r>
      <w:bookmarkEnd w:id="44"/>
      <w:bookmarkEnd w:id="45"/>
      <w:r>
        <w:rPr>
          <w:rFonts w:hint="eastAsia"/>
        </w:rPr>
        <w:t>综合评价情况及评价结论</w:t>
      </w:r>
      <w:bookmarkEnd w:id="46"/>
    </w:p>
    <w:p>
      <w:pPr>
        <w:pStyle w:val="5"/>
        <w:ind w:firstLine="560"/>
      </w:pPr>
      <w:bookmarkStart w:id="47" w:name="_Toc6539"/>
      <w:bookmarkStart w:id="48" w:name="_Toc453771167"/>
      <w:bookmarkStart w:id="49" w:name="_Toc20304"/>
      <w:bookmarkStart w:id="50" w:name="_Toc22708"/>
      <w:bookmarkStart w:id="51" w:name="_Toc9894"/>
      <w:bookmarkStart w:id="52" w:name="_Toc16955"/>
      <w:bookmarkStart w:id="53" w:name="_Toc26929"/>
      <w:bookmarkStart w:id="54" w:name="_Toc28348"/>
      <w:bookmarkStart w:id="55" w:name="_Toc29458"/>
      <w:bookmarkStart w:id="56" w:name="_Toc3350"/>
      <w:bookmarkStart w:id="57" w:name="_Toc12099"/>
      <w:r>
        <w:rPr>
          <w:rFonts w:hint="eastAsia"/>
        </w:rPr>
        <w:t>（一）</w:t>
      </w:r>
      <w:bookmarkEnd w:id="47"/>
      <w:bookmarkEnd w:id="48"/>
      <w:bookmarkEnd w:id="49"/>
      <w:bookmarkEnd w:id="50"/>
      <w:bookmarkEnd w:id="51"/>
      <w:bookmarkEnd w:id="52"/>
      <w:bookmarkEnd w:id="53"/>
      <w:bookmarkEnd w:id="54"/>
      <w:bookmarkEnd w:id="55"/>
      <w:bookmarkEnd w:id="56"/>
      <w:r>
        <w:rPr>
          <w:rFonts w:hint="eastAsia"/>
        </w:rPr>
        <w:t>综合评价情况</w:t>
      </w:r>
      <w:bookmarkEnd w:id="57"/>
    </w:p>
    <w:p>
      <w:bookmarkStart w:id="58" w:name="_Toc28374"/>
      <w:bookmarkStart w:id="59" w:name="_Toc4476"/>
      <w:bookmarkStart w:id="60" w:name="_Toc2389"/>
      <w:bookmarkStart w:id="61" w:name="_Toc12655"/>
      <w:bookmarkStart w:id="62" w:name="_Toc16417"/>
      <w:bookmarkStart w:id="63" w:name="_Toc31408"/>
      <w:bookmarkStart w:id="64" w:name="_Toc453771170"/>
      <w:bookmarkStart w:id="65" w:name="_Toc14575"/>
      <w:bookmarkStart w:id="66" w:name="_Toc31779"/>
      <w:r>
        <w:rPr>
          <w:rFonts w:hint="eastAsia"/>
        </w:rPr>
        <w:t>本次评价以2020年12月31日为评价基准日，采用比较法、综合指数评价法进行绩效评价，对宁武县汾河治理事务中心2020年财政统筹整合资金扶贫项目实施了现场核查、对比分析、指标评分、报告撰写等必要的评价程序，最终形成如下评价结果，详见表3-1，表3-2。</w:t>
      </w:r>
    </w:p>
    <w:p>
      <w:r>
        <w:rPr>
          <w:rFonts w:hint="eastAsia"/>
        </w:rPr>
        <w:t>宁武县汾河治理事务中心2020年财政统筹整合资金扶贫项目绩效评价得分为81.97分，评价等级为“</w:t>
      </w:r>
      <w:r>
        <w:rPr>
          <w:rFonts w:hint="eastAsia"/>
          <w:lang w:val="en-US" w:eastAsia="zh-CN"/>
        </w:rPr>
        <w:t>良</w:t>
      </w:r>
      <w:r>
        <w:rPr>
          <w:rFonts w:hint="eastAsia"/>
        </w:rPr>
        <w:t>”。</w:t>
      </w:r>
    </w:p>
    <w:p>
      <w:pPr>
        <w:pStyle w:val="2"/>
        <w:spacing w:before="0"/>
        <w:ind w:firstLine="0" w:firstLineChars="0"/>
        <w:jc w:val="center"/>
        <w:rPr>
          <w:rFonts w:ascii="宋体" w:hAnsi="宋体" w:eastAsia="宋体"/>
          <w:lang w:bidi="ar"/>
        </w:rPr>
      </w:pPr>
      <w:r>
        <w:rPr>
          <w:rFonts w:hint="eastAsia" w:ascii="宋体" w:hAnsi="宋体" w:eastAsia="宋体"/>
          <w:lang w:bidi="ar"/>
        </w:rPr>
        <w:t>表3-1 项目总体绩效评价评分表</w:t>
      </w:r>
    </w:p>
    <w:tbl>
      <w:tblPr>
        <w:tblStyle w:val="16"/>
        <w:tblW w:w="8392" w:type="dxa"/>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98"/>
        <w:gridCol w:w="2098"/>
        <w:gridCol w:w="2098"/>
        <w:gridCol w:w="2098"/>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098" w:type="dxa"/>
            <w:tcBorders>
              <w:tl2br w:val="nil"/>
              <w:tr2bl w:val="nil"/>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一级指标</w:t>
            </w:r>
          </w:p>
        </w:tc>
        <w:tc>
          <w:tcPr>
            <w:tcW w:w="2098" w:type="dxa"/>
            <w:tcBorders>
              <w:tl2br w:val="nil"/>
              <w:tr2bl w:val="nil"/>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权重</w:t>
            </w:r>
          </w:p>
        </w:tc>
        <w:tc>
          <w:tcPr>
            <w:tcW w:w="2098" w:type="dxa"/>
            <w:tcBorders>
              <w:tl2br w:val="nil"/>
              <w:tr2bl w:val="nil"/>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w:t>
            </w:r>
          </w:p>
        </w:tc>
        <w:tc>
          <w:tcPr>
            <w:tcW w:w="2098" w:type="dxa"/>
            <w:tcBorders>
              <w:tl2br w:val="nil"/>
              <w:tr2bl w:val="nil"/>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得分率</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决策</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20</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17</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85%</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过程</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20</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15.80</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79%</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产出</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30</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26.39</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87.97%</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效益</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30</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22.78</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75.93%</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合计</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100</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81.97</w:t>
            </w:r>
          </w:p>
        </w:tc>
        <w:tc>
          <w:tcPr>
            <w:tcW w:w="2098" w:type="dxa"/>
            <w:tcBorders>
              <w:tl2br w:val="nil"/>
              <w:tr2bl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81.97%</w:t>
            </w:r>
          </w:p>
        </w:tc>
      </w:tr>
    </w:tbl>
    <w:p>
      <w:pPr>
        <w:pStyle w:val="5"/>
        <w:spacing w:before="240" w:beforeLines="100"/>
        <w:ind w:firstLine="560"/>
      </w:pPr>
      <w:bookmarkStart w:id="67" w:name="_Toc12429"/>
      <w:bookmarkStart w:id="68" w:name="_Toc15792"/>
      <w:bookmarkStart w:id="69" w:name="_Toc31436"/>
      <w:r>
        <w:rPr>
          <w:rFonts w:hint="eastAsia"/>
        </w:rPr>
        <w:t>（二）评价结论</w:t>
      </w:r>
      <w:bookmarkEnd w:id="67"/>
      <w:r>
        <w:rPr>
          <w:rFonts w:hint="eastAsia"/>
        </w:rPr>
        <w:t xml:space="preserve"> </w:t>
      </w:r>
    </w:p>
    <w:p>
      <w:pPr>
        <w:widowControl/>
        <w:jc w:val="left"/>
        <w:rPr>
          <w:rFonts w:hAnsi="宋体" w:cs="仿宋_GB2312"/>
          <w:color w:val="000000"/>
          <w:kern w:val="0"/>
          <w:szCs w:val="28"/>
          <w:lang w:bidi="ar"/>
        </w:rPr>
      </w:pPr>
      <w:r>
        <w:rPr>
          <w:rFonts w:hint="eastAsia" w:hAnsi="宋体" w:cs="仿宋_GB2312"/>
          <w:color w:val="000000"/>
          <w:kern w:val="0"/>
          <w:szCs w:val="28"/>
          <w:lang w:bidi="ar"/>
        </w:rPr>
        <w:t>大西沟水土保持综合治理项目立项程序规范，申报资料较为完整，缺乏会议纪要；绩效目标制定依据充分，目标清晰，但指标设置不够细化；资金到位及时，预算执行率低。项目管理制度健全、建设方案较为完备、财务制度健全、财务监控有效；但结算方式与合同约定的付款方式不一致、项目未进行结算审计。项目建设内容已全部完成，且提供了验收资料，但项目实际工期比计划工期晚七个月。项目通过种植水保林，可涵养水源、改善土质；新建拦沙堰，可拦截泥沙，减少自然灾害，但该拦沙堰只能拦截上游泥沙，对下游泥沙拦截力度不够；项目已制定后期管护制度，但执行力度不够；项目受益群众满意度达90%。</w:t>
      </w:r>
    </w:p>
    <w:p>
      <w:pPr>
        <w:pStyle w:val="2"/>
        <w:spacing w:before="0"/>
        <w:rPr>
          <w:rFonts w:hAnsi="宋体" w:cs="仿宋_GB2312"/>
          <w:color w:val="000000"/>
          <w:kern w:val="0"/>
          <w:szCs w:val="28"/>
          <w:lang w:bidi="ar"/>
        </w:rPr>
      </w:pPr>
      <w:r>
        <w:rPr>
          <w:rFonts w:hint="eastAsia" w:hAnsi="宋体" w:cs="仿宋_GB2312"/>
          <w:color w:val="000000"/>
          <w:kern w:val="0"/>
          <w:szCs w:val="28"/>
          <w:lang w:bidi="ar"/>
        </w:rPr>
        <w:t>瓦窑沟水土保持综合治理项目立项程序规范，申报资料完整；绩效目标清晰，但指标设置不够细化；资金到位及时，预算执行率低。项目管理制度健全、建设方案较为完备（缺乏人员、工程进度安排）、财务制度健全、财务监控有效；但结算方式与合同约定的付款方式不一致、项目未进行结算审计。项目已在预期时间内完成全部工程量并提供了验收资料，但验收不细化。项目通过种植水保林，可涵养水源、改善土质；通过修建拦沙堰、拦沙坎、浆砌石排洪渠、铅丝石笼排洪渠，可拦截泥沙，减少地表径流，减少自然灾害；项目已制定后期管护制度，但执行力度不够；项目受益群众满意度达90%。</w:t>
      </w:r>
    </w:p>
    <w:p>
      <w:pPr>
        <w:pStyle w:val="2"/>
        <w:spacing w:before="0"/>
        <w:rPr>
          <w:rFonts w:hAnsi="宋体" w:cs="仿宋_GB2312"/>
          <w:color w:val="000000"/>
          <w:kern w:val="0"/>
          <w:szCs w:val="28"/>
          <w:lang w:bidi="ar"/>
        </w:rPr>
      </w:pPr>
      <w:r>
        <w:rPr>
          <w:rFonts w:hAnsi="宋体" w:cs="仿宋_GB2312"/>
          <w:color w:val="000000"/>
          <w:kern w:val="0"/>
          <w:szCs w:val="28"/>
          <w:lang w:bidi="ar"/>
        </w:rPr>
        <w:t>汾河源生态治理工程（水土保持</w:t>
      </w:r>
      <w:r>
        <w:rPr>
          <w:rFonts w:hint="eastAsia" w:hAnsi="宋体" w:cs="仿宋_GB2312"/>
          <w:color w:val="000000"/>
          <w:kern w:val="0"/>
          <w:szCs w:val="28"/>
          <w:lang w:bidi="ar"/>
        </w:rPr>
        <w:t>）项目立项程序规范，申报资料完整；绩效目标清晰，但指标设置不够细化；资金到位及时，预算执行率较低。项目管理制度健全、建设方案完备、财务制度健全、财务监控有效；该项目四标段、九标段工程合同未约定付款方式，其余标段结算方式与合同约定的付款方式不一致；项目已在预期时间内完工，未验收。该项目通过种植油松、落叶松、沙棘等，可涵养水源，但幼苗受到了羊群以及人为的破坏，存活率未达预期；项目已制定后期管护制度，但执行力度不够；项目受益群众满意度达90%。</w:t>
      </w:r>
    </w:p>
    <w:p>
      <w:pPr>
        <w:pStyle w:val="2"/>
        <w:spacing w:before="0"/>
        <w:rPr>
          <w:rFonts w:hAnsi="宋体" w:cs="仿宋_GB2312"/>
          <w:color w:val="000000"/>
          <w:kern w:val="0"/>
          <w:szCs w:val="28"/>
          <w:lang w:bidi="ar"/>
        </w:rPr>
      </w:pPr>
      <w:r>
        <w:rPr>
          <w:rFonts w:hAnsi="宋体" w:cs="仿宋_GB2312"/>
          <w:color w:val="000000"/>
          <w:kern w:val="0"/>
          <w:szCs w:val="28"/>
          <w:lang w:bidi="ar"/>
        </w:rPr>
        <w:t>洪河源头小流域水土保持综合治理</w:t>
      </w:r>
      <w:r>
        <w:rPr>
          <w:rFonts w:hint="eastAsia" w:hAnsi="宋体" w:cs="仿宋_GB2312"/>
          <w:color w:val="000000"/>
          <w:kern w:val="0"/>
          <w:szCs w:val="28"/>
          <w:lang w:bidi="ar"/>
        </w:rPr>
        <w:t>项目立项程序规范，申报资料完整；绩效目标清晰，但指标设置不够细化；资金到位及时，预算执行率高。项目管理制度健全、建设方案较为完备（施工进度安排不合理）、财务制度健全、财务监控有效；项目结算方式与合同约定的付款方式不一致。项目未验收。该项目通过种植油松、落叶松、沙棘等，可涵养水源，但幼苗受到了羊群以及人为的破坏，存活率未达预期；项目已制定后期管护制度，但执行力度不够；项目受益群众满意度达90%。</w:t>
      </w:r>
    </w:p>
    <w:p>
      <w:pPr>
        <w:pStyle w:val="2"/>
        <w:spacing w:before="0"/>
        <w:rPr>
          <w:rFonts w:hAnsi="宋体" w:cs="仿宋_GB2312"/>
          <w:color w:val="000000"/>
          <w:kern w:val="0"/>
          <w:szCs w:val="28"/>
          <w:lang w:bidi="ar"/>
        </w:rPr>
      </w:pPr>
      <w:r>
        <w:rPr>
          <w:rFonts w:hint="eastAsia" w:hAnsi="宋体" w:cs="仿宋_GB2312"/>
          <w:color w:val="000000"/>
          <w:kern w:val="0"/>
          <w:szCs w:val="28"/>
          <w:lang w:bidi="ar"/>
        </w:rPr>
        <w:t>碳</w:t>
      </w:r>
      <w:r>
        <w:rPr>
          <w:rFonts w:hAnsi="宋体" w:cs="仿宋_GB2312"/>
          <w:color w:val="000000"/>
          <w:kern w:val="0"/>
          <w:szCs w:val="28"/>
          <w:lang w:bidi="ar"/>
        </w:rPr>
        <w:t>窑坪小流域综合治理</w:t>
      </w:r>
      <w:r>
        <w:rPr>
          <w:rFonts w:hint="eastAsia" w:hAnsi="宋体" w:cs="仿宋_GB2312"/>
          <w:color w:val="000000"/>
          <w:kern w:val="0"/>
          <w:szCs w:val="28"/>
          <w:lang w:bidi="ar"/>
        </w:rPr>
        <w:t>项目立项程序规范，申报资料较为完整，缺乏会议纪要；绩效目标制定依据充分，目标清晰，但指标设置不够细化；资金到位及时，预算执行率高。项目管理制度健全、建设方案较为完备、财务制度健全、财务监控有效；项目结算方式与合同约定的付款方式不一致。项目已验收已审计、未提供验收报告，验收鉴定书中表明配套资金相关部分项目未完成，项目完成时间比预期推迟了三个月。该项目通过种植油松、落叶松、沙棘、云杉、白水杏等，可涵养水源，但幼苗受到了羊群以及人为的破坏，存活率未达预期；项目已制定后期管护制度，但执行力度不够；项目受益群众满意度达90%。</w:t>
      </w:r>
    </w:p>
    <w:p>
      <w:pPr>
        <w:pStyle w:val="2"/>
        <w:spacing w:before="0"/>
        <w:rPr>
          <w:rFonts w:hAnsi="宋体" w:cs="仿宋_GB2312"/>
          <w:color w:val="000000"/>
          <w:kern w:val="0"/>
          <w:szCs w:val="28"/>
          <w:lang w:bidi="ar"/>
        </w:rPr>
      </w:pPr>
      <w:r>
        <w:rPr>
          <w:rFonts w:hAnsi="宋体" w:cs="仿宋_GB2312"/>
          <w:color w:val="000000"/>
          <w:kern w:val="0"/>
          <w:szCs w:val="28"/>
          <w:lang w:bidi="ar"/>
        </w:rPr>
        <w:t>汾河源头生态治理工程（河道治理）</w:t>
      </w:r>
      <w:r>
        <w:rPr>
          <w:rFonts w:hint="eastAsia" w:hAnsi="宋体" w:cs="仿宋_GB2312"/>
          <w:color w:val="000000"/>
          <w:kern w:val="0"/>
          <w:szCs w:val="28"/>
          <w:lang w:bidi="ar"/>
        </w:rPr>
        <w:t>项目立项程序规范，申报资料完整；绩效目标清晰，但指标设置不够细化；资金到位及时，预算执行率较低。项目管理制度健全、建设方案完备、财务制度健全、财务监控有效；合同管理不规范，结算方式与合同约定的付款方式不一致。该项目二标段、三标段未完工，其余标段完工未验收。该项目通过河道清淤、修建生态堤防等工程，可拦截泥沙、减少自然灾害；项目已制定后期管护制度，但执行力度不够；项目受益群众满意度达90%。</w:t>
      </w:r>
    </w:p>
    <w:bookmarkEnd w:id="58"/>
    <w:bookmarkEnd w:id="59"/>
    <w:bookmarkEnd w:id="60"/>
    <w:bookmarkEnd w:id="61"/>
    <w:bookmarkEnd w:id="62"/>
    <w:bookmarkEnd w:id="63"/>
    <w:bookmarkEnd w:id="64"/>
    <w:bookmarkEnd w:id="65"/>
    <w:bookmarkEnd w:id="66"/>
    <w:bookmarkEnd w:id="68"/>
    <w:bookmarkEnd w:id="69"/>
    <w:p>
      <w:pPr>
        <w:pStyle w:val="4"/>
        <w:ind w:firstLine="560"/>
      </w:pPr>
      <w:bookmarkStart w:id="70" w:name="_Toc15531"/>
      <w:bookmarkStart w:id="71" w:name="_Toc3973"/>
      <w:r>
        <w:rPr>
          <w:rFonts w:hint="eastAsia"/>
          <w:lang w:val="en-US" w:eastAsia="zh-CN"/>
        </w:rPr>
        <w:t>四</w:t>
      </w:r>
      <w:r>
        <w:rPr>
          <w:rFonts w:hint="eastAsia"/>
        </w:rPr>
        <w:t>、</w:t>
      </w:r>
      <w:bookmarkEnd w:id="70"/>
      <w:r>
        <w:rPr>
          <w:rFonts w:hint="eastAsia"/>
        </w:rPr>
        <w:t>存在的问题</w:t>
      </w:r>
      <w:bookmarkEnd w:id="71"/>
    </w:p>
    <w:p>
      <w:r>
        <w:rPr>
          <w:rFonts w:hint="eastAsia"/>
        </w:rPr>
        <w:t>总体而言，宁武县汾河治理事务中心2020年财政统筹整合资金基本实现了预期的绩效目标，但某些方面仍存在一定的问题和不足，主要有：</w:t>
      </w:r>
    </w:p>
    <w:p>
      <w:pPr>
        <w:pStyle w:val="5"/>
        <w:ind w:firstLine="560"/>
      </w:pPr>
      <w:bookmarkStart w:id="72" w:name="_Toc10291"/>
      <w:bookmarkStart w:id="73" w:name="_Toc31995"/>
      <w:bookmarkStart w:id="74" w:name="_Toc844"/>
      <w:r>
        <w:rPr>
          <w:rFonts w:hint="eastAsia"/>
        </w:rPr>
        <w:t>（一）合同管理不规范</w:t>
      </w:r>
      <w:bookmarkEnd w:id="72"/>
    </w:p>
    <w:p>
      <w:r>
        <w:rPr>
          <w:rFonts w:hint="eastAsia"/>
        </w:rPr>
        <w:t>评价组在评价过程中，发现项目单位实施的6个项目工程合同内容不完整，合同中均未写明工程概况以及具体的合同工期；汾河源头生态治理工程（水土保持）项目中四标和九标的工程合同协议书未约定结算方式，在专用条款中也未进行补充说明；洪河源头小流域水土保持综合治理工程合同未写明合同签订时间。</w:t>
      </w:r>
    </w:p>
    <w:p>
      <w:pPr>
        <w:pStyle w:val="5"/>
        <w:ind w:firstLine="560"/>
      </w:pPr>
      <w:bookmarkStart w:id="75" w:name="_Toc6023"/>
      <w:r>
        <w:rPr>
          <w:rFonts w:hint="eastAsia"/>
        </w:rPr>
        <w:t>（二）缺乏后期管护</w:t>
      </w:r>
      <w:bookmarkEnd w:id="75"/>
    </w:p>
    <w:p>
      <w:r>
        <w:rPr>
          <w:rFonts w:hint="eastAsia"/>
        </w:rPr>
        <w:t>通过查看项目单位提供的资料，汾河源头生态治理工程（水土保持）项目对幼林的管护作出了明确规定，同时提到为了防止人、畜破坏，应加强宣传教育，建立与健全护林组织，制定必要的制度。通过对汾河源头生态治理工程（水土保持）项目的实地查看，栽种的树苗周围杂草、灌木较多，幼苗的生长环境较差，且较多树苗遭到了羊群的破坏以及不同程度的人为破坏。</w:t>
      </w:r>
    </w:p>
    <w:p>
      <w:pPr>
        <w:pStyle w:val="5"/>
        <w:ind w:firstLine="560"/>
      </w:pPr>
      <w:bookmarkStart w:id="76" w:name="_Toc12836"/>
      <w:r>
        <w:rPr>
          <w:rFonts w:hint="eastAsia"/>
        </w:rPr>
        <w:t>（三）前期规划不合理</w:t>
      </w:r>
      <w:bookmarkEnd w:id="76"/>
    </w:p>
    <w:p>
      <w:r>
        <w:rPr>
          <w:rFonts w:hint="eastAsia"/>
        </w:rPr>
        <w:t>大西沟沟口紧邻居民区，每当暴雨发生，水土流失严重，泥沙经由雨水冲刷至下游居民街道，影响下游道路通行。通过对项目资料的查看，该项目在沟道内新建了两座拦沙堰，沟道左岸修建了一条生产道路，在流域范围内土地条件较好的荒坡地种植水保林，但是在实地调研过程中，通过现场观察以及对附近居民的询问，发现新建的两座拦沙堰能控制坝上游的泥沙，对坝下游的泥沙拦截力度不够。</w:t>
      </w:r>
    </w:p>
    <w:p>
      <w:pPr>
        <w:pStyle w:val="4"/>
        <w:ind w:firstLine="560"/>
      </w:pPr>
      <w:bookmarkStart w:id="77" w:name="_Toc10868"/>
      <w:r>
        <w:rPr>
          <w:rFonts w:hint="eastAsia"/>
          <w:lang w:val="en-US" w:eastAsia="zh-CN"/>
        </w:rPr>
        <w:t>五</w:t>
      </w:r>
      <w:r>
        <w:rPr>
          <w:rFonts w:hint="eastAsia"/>
        </w:rPr>
        <w:t>、有关建议</w:t>
      </w:r>
      <w:bookmarkEnd w:id="73"/>
      <w:bookmarkEnd w:id="74"/>
      <w:bookmarkEnd w:id="77"/>
    </w:p>
    <w:p>
      <w:r>
        <w:rPr>
          <w:rFonts w:hint="eastAsia"/>
        </w:rPr>
        <w:t>针对上述问题及不足，评价组经过仔细研究，认为在以后的项目实施过程中需从以下几个方面改进：</w:t>
      </w:r>
    </w:p>
    <w:p>
      <w:pPr>
        <w:pStyle w:val="5"/>
        <w:ind w:firstLine="560"/>
      </w:pPr>
      <w:bookmarkStart w:id="78" w:name="_Toc9017"/>
      <w:r>
        <w:rPr>
          <w:rFonts w:hint="eastAsia"/>
        </w:rPr>
        <w:t>（一）规范合同管理</w:t>
      </w:r>
      <w:bookmarkEnd w:id="78"/>
    </w:p>
    <w:p>
      <w:pPr>
        <w:rPr>
          <w:rFonts w:hAnsi="宋体" w:cs="仿宋_GB2312"/>
          <w:color w:val="000000"/>
          <w:kern w:val="0"/>
          <w:szCs w:val="28"/>
          <w:lang w:bidi="ar"/>
        </w:rPr>
      </w:pPr>
      <w:r>
        <w:rPr>
          <w:rFonts w:hint="eastAsia" w:hAnsi="宋体" w:cs="仿宋_GB2312"/>
          <w:color w:val="000000"/>
          <w:kern w:val="0"/>
          <w:szCs w:val="28"/>
          <w:lang w:bidi="ar"/>
        </w:rPr>
        <w:t>建议项目单位提高合同管理意识，明确合同管理流程，合同的决策、审核、审批、签订、履行要严格遵守国家的法律法规。对合同签订和审批进行严格把关，在合同审批流程结束后，合同双方要对合同内容，合同日期，签字盖章进行严格审核，避免出现合同内容不完整、合同日期空白等现象。针对建筑工程类合同，合同内容及格式可参照</w:t>
      </w:r>
      <w:r>
        <w:rPr>
          <w:rFonts w:hint="eastAsia"/>
        </w:rPr>
        <w:t>《建设工程施工合同（示范文本）》。</w:t>
      </w:r>
    </w:p>
    <w:p>
      <w:pPr>
        <w:pStyle w:val="5"/>
        <w:ind w:firstLine="560"/>
      </w:pPr>
      <w:bookmarkStart w:id="79" w:name="_Toc9530"/>
      <w:r>
        <w:rPr>
          <w:rFonts w:hint="eastAsia"/>
        </w:rPr>
        <w:t>（二）</w:t>
      </w:r>
      <w:r>
        <w:t>加强项目后续管理</w:t>
      </w:r>
      <w:bookmarkEnd w:id="79"/>
    </w:p>
    <w:p>
      <w:pPr>
        <w:rPr>
          <w:rFonts w:hAnsi="仿宋_GB2312" w:cs="仿宋_GB2312"/>
          <w:szCs w:val="28"/>
        </w:rPr>
      </w:pPr>
      <w:r>
        <w:rPr>
          <w:rFonts w:hint="eastAsia"/>
        </w:rPr>
        <w:t>建议项目单位积极开展项目后期管护工作，贯彻谁经营、谁管护、谁受益的原则，明确管护主体、管护重点，使管护人员层层有人抓、事事有人管。加大对幼苗的管护、巡查力度，及时清除幼苗周围的杂草、灌木，为幼苗提供一个良好的生长环境；加强宣传教育，提高群众对保护幼苗的意识，减少羊群以及人为破坏现象的发生；对死亡的幼苗，要尽快补植，确保幼苗存活率，</w:t>
      </w:r>
      <w:r>
        <w:rPr>
          <w:rFonts w:hint="eastAsia" w:hAnsi="仿宋_GB2312" w:cs="仿宋_GB2312"/>
          <w:szCs w:val="28"/>
        </w:rPr>
        <w:t>力促项目的绩效发挥能够长效长远。</w:t>
      </w:r>
    </w:p>
    <w:p>
      <w:pPr>
        <w:pStyle w:val="5"/>
        <w:ind w:firstLine="560"/>
      </w:pPr>
      <w:bookmarkStart w:id="80" w:name="_Toc26104"/>
      <w:r>
        <w:rPr>
          <w:rFonts w:hint="eastAsia"/>
        </w:rPr>
        <w:t>（三）深入考察，做好前期规划工作</w:t>
      </w:r>
      <w:bookmarkEnd w:id="80"/>
    </w:p>
    <w:p>
      <w:r>
        <w:rPr>
          <w:rFonts w:hint="eastAsia"/>
        </w:rPr>
        <w:t>建议项目单位在建设工程项目时注重前期规划，事先到现场进行初步考察，通过与项目实施地群众进行沟通，掌握项目实施地的基本情况和信息，根据实际情况、群众需求、建设的必要性和建设地点，初步拟定实施内容，根据投资金额以及建设期限，进一步论证，调整、完善和细化建设方案，完成项目的可行性研究报告。</w:t>
      </w:r>
    </w:p>
    <w:p>
      <w:pPr>
        <w:pStyle w:val="2"/>
        <w:spacing w:before="0" w:line="240" w:lineRule="auto"/>
        <w:ind w:firstLine="0" w:firstLineChars="0"/>
        <w:rPr>
          <w:rFonts w:ascii="宋体" w:hAnsi="宋体" w:eastAsia="宋体" w:cs="宋体"/>
          <w:sz w:val="20"/>
          <w:szCs w:val="20"/>
        </w:rPr>
      </w:pPr>
    </w:p>
    <w:sectPr>
      <w:footerReference r:id="rId8" w:type="default"/>
      <w:pgSz w:w="11906" w:h="16838"/>
      <w:pgMar w:top="2041" w:right="1417" w:bottom="1417" w:left="1531" w:header="851" w:footer="850" w:gutter="0"/>
      <w:pgBorders>
        <w:top w:val="none" w:sz="0" w:space="0"/>
        <w:left w:val="none" w:sz="0" w:space="0"/>
        <w:bottom w:val="none" w:sz="0" w:space="0"/>
        <w:right w:val="none" w:sz="0" w:space="0"/>
      </w:pgBorders>
      <w:pgNumType w:fmt="decimal" w:start="1"/>
      <w:cols w:space="0" w:num="1"/>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2</w:t>
                          </w:r>
                          <w:r>
                            <w:rPr>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2</w:t>
                    </w:r>
                    <w:r>
                      <w:rPr>
                        <w:sz w:val="24"/>
                        <w:szCs w:val="4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single" w:color="000000" w:sz="4" w:space="1"/>
        <w:right w:val="none" w:color="auto" w:sz="0" w:space="0"/>
      </w:pBdr>
      <w:spacing w:line="240" w:lineRule="auto"/>
      <w:ind w:firstLine="0" w:firstLineChars="0"/>
      <w:jc w:val="center"/>
      <w:rPr>
        <w:rFonts w:hAnsi="仿宋_GB2312" w:cs="仿宋_GB2312"/>
        <w:sz w:val="24"/>
        <w:szCs w:val="40"/>
      </w:rPr>
    </w:pPr>
    <w:r>
      <w:drawing>
        <wp:inline distT="0" distB="0" distL="114300" distR="114300">
          <wp:extent cx="240665" cy="240665"/>
          <wp:effectExtent l="0" t="0" r="317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 xml:space="preserve">山西亚泰       </w:t>
    </w:r>
    <w:r>
      <w:rPr>
        <w:rFonts w:hint="eastAsia" w:ascii="宋体" w:hAnsi="宋体" w:eastAsia="宋体" w:cs="宋体"/>
        <w:sz w:val="24"/>
        <w:szCs w:val="40"/>
      </w:rPr>
      <w:t>宁武县汾河治理事务中心2020年统筹整合财政资金绩效评价报告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right w:val="none" w:color="auto" w:sz="0" w:space="0"/>
      </w:pBdr>
      <w:spacing w:line="240" w:lineRule="auto"/>
      <w:ind w:firstLine="0" w:firstLineChars="0"/>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displayBackgroundShape w:val="1"/>
  <w:embedSystemFonts/>
  <w:documentProtection w:edit="readOnly" w:formatting="1" w:enforcement="0"/>
  <w:defaultTabStop w:val="420"/>
  <w:drawingGridVerticalSpacing w:val="198"/>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YWI2YjM3YmMyM2M2N2Q3ZDhhNjM1NzA1NDMxOGUifQ=="/>
  </w:docVars>
  <w:rsids>
    <w:rsidRoot w:val="2E6A2B84"/>
    <w:rsid w:val="000C68C4"/>
    <w:rsid w:val="001B7724"/>
    <w:rsid w:val="001D1622"/>
    <w:rsid w:val="00212C30"/>
    <w:rsid w:val="002F52D4"/>
    <w:rsid w:val="0037359F"/>
    <w:rsid w:val="003870A1"/>
    <w:rsid w:val="003F7F43"/>
    <w:rsid w:val="00470320"/>
    <w:rsid w:val="005B6B0F"/>
    <w:rsid w:val="0061611D"/>
    <w:rsid w:val="00632EDD"/>
    <w:rsid w:val="006C31CE"/>
    <w:rsid w:val="007E7A91"/>
    <w:rsid w:val="00803F7B"/>
    <w:rsid w:val="00850FED"/>
    <w:rsid w:val="009B422A"/>
    <w:rsid w:val="00A10BB6"/>
    <w:rsid w:val="00AB5491"/>
    <w:rsid w:val="00B7448A"/>
    <w:rsid w:val="00CA3445"/>
    <w:rsid w:val="00CE6C1D"/>
    <w:rsid w:val="00DF4855"/>
    <w:rsid w:val="00E043C6"/>
    <w:rsid w:val="00F21E95"/>
    <w:rsid w:val="00F42A71"/>
    <w:rsid w:val="00FB673F"/>
    <w:rsid w:val="015C41FC"/>
    <w:rsid w:val="017C4A07"/>
    <w:rsid w:val="01962D44"/>
    <w:rsid w:val="019C4647"/>
    <w:rsid w:val="01AA3457"/>
    <w:rsid w:val="01CF1544"/>
    <w:rsid w:val="01DB707C"/>
    <w:rsid w:val="01E75D2C"/>
    <w:rsid w:val="020818FB"/>
    <w:rsid w:val="020A1C0B"/>
    <w:rsid w:val="02244EBD"/>
    <w:rsid w:val="023856A1"/>
    <w:rsid w:val="027706F2"/>
    <w:rsid w:val="028A3101"/>
    <w:rsid w:val="03320A4A"/>
    <w:rsid w:val="0347507A"/>
    <w:rsid w:val="04002BB8"/>
    <w:rsid w:val="04740847"/>
    <w:rsid w:val="04907942"/>
    <w:rsid w:val="04987716"/>
    <w:rsid w:val="04F10165"/>
    <w:rsid w:val="050955FB"/>
    <w:rsid w:val="053F4012"/>
    <w:rsid w:val="05401651"/>
    <w:rsid w:val="057010E0"/>
    <w:rsid w:val="05807D7D"/>
    <w:rsid w:val="058C5E13"/>
    <w:rsid w:val="05925A0A"/>
    <w:rsid w:val="05A32885"/>
    <w:rsid w:val="05C036C8"/>
    <w:rsid w:val="05D37459"/>
    <w:rsid w:val="05D47089"/>
    <w:rsid w:val="05EF5CB8"/>
    <w:rsid w:val="06446764"/>
    <w:rsid w:val="065F64C3"/>
    <w:rsid w:val="069912EF"/>
    <w:rsid w:val="06B93873"/>
    <w:rsid w:val="06C84024"/>
    <w:rsid w:val="06ED6387"/>
    <w:rsid w:val="06F91ED3"/>
    <w:rsid w:val="070C2627"/>
    <w:rsid w:val="07472C04"/>
    <w:rsid w:val="0750303E"/>
    <w:rsid w:val="07521BBC"/>
    <w:rsid w:val="075E42D1"/>
    <w:rsid w:val="07AA0635"/>
    <w:rsid w:val="07B83B3F"/>
    <w:rsid w:val="07F25D5D"/>
    <w:rsid w:val="07F81E54"/>
    <w:rsid w:val="080C5D5D"/>
    <w:rsid w:val="08236CAC"/>
    <w:rsid w:val="085F4DED"/>
    <w:rsid w:val="086F5144"/>
    <w:rsid w:val="089A0B21"/>
    <w:rsid w:val="08A22ED9"/>
    <w:rsid w:val="08B23CD9"/>
    <w:rsid w:val="08EF6283"/>
    <w:rsid w:val="0950192E"/>
    <w:rsid w:val="0950287A"/>
    <w:rsid w:val="095776AC"/>
    <w:rsid w:val="096B6AEC"/>
    <w:rsid w:val="09865286"/>
    <w:rsid w:val="09872575"/>
    <w:rsid w:val="09BA442F"/>
    <w:rsid w:val="0A246B7D"/>
    <w:rsid w:val="0A3C275D"/>
    <w:rsid w:val="0A6337D9"/>
    <w:rsid w:val="0A68747B"/>
    <w:rsid w:val="0A733D61"/>
    <w:rsid w:val="0AB61B30"/>
    <w:rsid w:val="0AFA5870"/>
    <w:rsid w:val="0AFB137F"/>
    <w:rsid w:val="0B024215"/>
    <w:rsid w:val="0B5B4105"/>
    <w:rsid w:val="0BE43E64"/>
    <w:rsid w:val="0C267029"/>
    <w:rsid w:val="0C556BF8"/>
    <w:rsid w:val="0C75769F"/>
    <w:rsid w:val="0C757950"/>
    <w:rsid w:val="0C8836F5"/>
    <w:rsid w:val="0CD553EA"/>
    <w:rsid w:val="0CDF67D0"/>
    <w:rsid w:val="0CF10D7D"/>
    <w:rsid w:val="0D0A2665"/>
    <w:rsid w:val="0D0C4E63"/>
    <w:rsid w:val="0D353023"/>
    <w:rsid w:val="0D4505A4"/>
    <w:rsid w:val="0D4B6230"/>
    <w:rsid w:val="0D5315FF"/>
    <w:rsid w:val="0DA32C04"/>
    <w:rsid w:val="0DA83176"/>
    <w:rsid w:val="0DE85145"/>
    <w:rsid w:val="0E0A4ADE"/>
    <w:rsid w:val="0E495C32"/>
    <w:rsid w:val="0E615AD5"/>
    <w:rsid w:val="0E732ED3"/>
    <w:rsid w:val="0E846A8F"/>
    <w:rsid w:val="0E920A46"/>
    <w:rsid w:val="0EAF7759"/>
    <w:rsid w:val="0EBF7A6C"/>
    <w:rsid w:val="0F3B69D9"/>
    <w:rsid w:val="0F943345"/>
    <w:rsid w:val="0FE82461"/>
    <w:rsid w:val="0FFB45B1"/>
    <w:rsid w:val="102E5AE6"/>
    <w:rsid w:val="10765F68"/>
    <w:rsid w:val="10904CD1"/>
    <w:rsid w:val="10AB2990"/>
    <w:rsid w:val="10E92BFE"/>
    <w:rsid w:val="110117D3"/>
    <w:rsid w:val="110E6E55"/>
    <w:rsid w:val="11212CCD"/>
    <w:rsid w:val="112D42AF"/>
    <w:rsid w:val="11591E5F"/>
    <w:rsid w:val="11883546"/>
    <w:rsid w:val="11887CF3"/>
    <w:rsid w:val="11CC2307"/>
    <w:rsid w:val="11DA73A5"/>
    <w:rsid w:val="121735B7"/>
    <w:rsid w:val="12197AA4"/>
    <w:rsid w:val="1227443E"/>
    <w:rsid w:val="12311F00"/>
    <w:rsid w:val="12406622"/>
    <w:rsid w:val="12611770"/>
    <w:rsid w:val="12614AD4"/>
    <w:rsid w:val="12636198"/>
    <w:rsid w:val="12945858"/>
    <w:rsid w:val="12CD1645"/>
    <w:rsid w:val="12F4372B"/>
    <w:rsid w:val="13112132"/>
    <w:rsid w:val="137D0855"/>
    <w:rsid w:val="13884D66"/>
    <w:rsid w:val="139D323F"/>
    <w:rsid w:val="13A70116"/>
    <w:rsid w:val="13B23E5F"/>
    <w:rsid w:val="144944D3"/>
    <w:rsid w:val="144B6108"/>
    <w:rsid w:val="146C6890"/>
    <w:rsid w:val="14704DC1"/>
    <w:rsid w:val="14A84FD6"/>
    <w:rsid w:val="14B92016"/>
    <w:rsid w:val="14E03DA3"/>
    <w:rsid w:val="15320AFC"/>
    <w:rsid w:val="154C04F2"/>
    <w:rsid w:val="156E4084"/>
    <w:rsid w:val="15735D78"/>
    <w:rsid w:val="158368AC"/>
    <w:rsid w:val="15857ABB"/>
    <w:rsid w:val="158B5802"/>
    <w:rsid w:val="15B33B5B"/>
    <w:rsid w:val="15BE471D"/>
    <w:rsid w:val="15C05ECB"/>
    <w:rsid w:val="15E84D0C"/>
    <w:rsid w:val="164765CD"/>
    <w:rsid w:val="166011B0"/>
    <w:rsid w:val="16796ED4"/>
    <w:rsid w:val="17082851"/>
    <w:rsid w:val="17117F41"/>
    <w:rsid w:val="17706BB8"/>
    <w:rsid w:val="177E7436"/>
    <w:rsid w:val="17BE6024"/>
    <w:rsid w:val="17E36252"/>
    <w:rsid w:val="17FB6AFB"/>
    <w:rsid w:val="18030338"/>
    <w:rsid w:val="18630017"/>
    <w:rsid w:val="186925FA"/>
    <w:rsid w:val="18E63CA2"/>
    <w:rsid w:val="18F523E0"/>
    <w:rsid w:val="19625540"/>
    <w:rsid w:val="196B77B7"/>
    <w:rsid w:val="19715385"/>
    <w:rsid w:val="197A3154"/>
    <w:rsid w:val="199F2E18"/>
    <w:rsid w:val="19A215AC"/>
    <w:rsid w:val="19B9102C"/>
    <w:rsid w:val="19C4251D"/>
    <w:rsid w:val="19D35887"/>
    <w:rsid w:val="1A0C17EB"/>
    <w:rsid w:val="1A27524A"/>
    <w:rsid w:val="1AA2382E"/>
    <w:rsid w:val="1AAB6505"/>
    <w:rsid w:val="1AB86D24"/>
    <w:rsid w:val="1ABE01BE"/>
    <w:rsid w:val="1AE71FE5"/>
    <w:rsid w:val="1B383A0D"/>
    <w:rsid w:val="1B586868"/>
    <w:rsid w:val="1B851A5C"/>
    <w:rsid w:val="1B896965"/>
    <w:rsid w:val="1BF12E8F"/>
    <w:rsid w:val="1BFB1D4E"/>
    <w:rsid w:val="1C341B85"/>
    <w:rsid w:val="1C4E23B5"/>
    <w:rsid w:val="1CC17FA5"/>
    <w:rsid w:val="1CD821F7"/>
    <w:rsid w:val="1D29646F"/>
    <w:rsid w:val="1D362C9A"/>
    <w:rsid w:val="1D6237F9"/>
    <w:rsid w:val="1D6E35AF"/>
    <w:rsid w:val="1D76032D"/>
    <w:rsid w:val="1DA61F10"/>
    <w:rsid w:val="1DD0193C"/>
    <w:rsid w:val="1DF03C5B"/>
    <w:rsid w:val="1DFF47FC"/>
    <w:rsid w:val="1E0A72A6"/>
    <w:rsid w:val="1E231C8B"/>
    <w:rsid w:val="1E2D0295"/>
    <w:rsid w:val="1E68549D"/>
    <w:rsid w:val="1E9C63F5"/>
    <w:rsid w:val="1EB6191F"/>
    <w:rsid w:val="1EC960E9"/>
    <w:rsid w:val="1ED33DFA"/>
    <w:rsid w:val="1EF4255C"/>
    <w:rsid w:val="1EFA7EE0"/>
    <w:rsid w:val="1F183A38"/>
    <w:rsid w:val="1F526BA8"/>
    <w:rsid w:val="1F527CB9"/>
    <w:rsid w:val="1F57782C"/>
    <w:rsid w:val="1F5F2BA0"/>
    <w:rsid w:val="1F8D2D17"/>
    <w:rsid w:val="1FA255DE"/>
    <w:rsid w:val="1FF36AA7"/>
    <w:rsid w:val="2032681D"/>
    <w:rsid w:val="204A06C8"/>
    <w:rsid w:val="20815A87"/>
    <w:rsid w:val="20B7792A"/>
    <w:rsid w:val="20F51366"/>
    <w:rsid w:val="21412F2F"/>
    <w:rsid w:val="214F1551"/>
    <w:rsid w:val="216975C6"/>
    <w:rsid w:val="21AA2BC8"/>
    <w:rsid w:val="21CB308D"/>
    <w:rsid w:val="21CE7CB5"/>
    <w:rsid w:val="21D33104"/>
    <w:rsid w:val="21E41074"/>
    <w:rsid w:val="21FB5C23"/>
    <w:rsid w:val="21FC4BAD"/>
    <w:rsid w:val="2207352A"/>
    <w:rsid w:val="220933EE"/>
    <w:rsid w:val="221667A8"/>
    <w:rsid w:val="222E6E2D"/>
    <w:rsid w:val="223D2FA1"/>
    <w:rsid w:val="224259F0"/>
    <w:rsid w:val="22577599"/>
    <w:rsid w:val="226C22A6"/>
    <w:rsid w:val="22722321"/>
    <w:rsid w:val="228B4881"/>
    <w:rsid w:val="22CA0157"/>
    <w:rsid w:val="230B4DAB"/>
    <w:rsid w:val="234223E7"/>
    <w:rsid w:val="237C4BC4"/>
    <w:rsid w:val="238755E3"/>
    <w:rsid w:val="238B69A7"/>
    <w:rsid w:val="23DF3661"/>
    <w:rsid w:val="23E06D9A"/>
    <w:rsid w:val="23E410AF"/>
    <w:rsid w:val="24180C8F"/>
    <w:rsid w:val="241F12A1"/>
    <w:rsid w:val="24390EE1"/>
    <w:rsid w:val="243D715F"/>
    <w:rsid w:val="243F2F29"/>
    <w:rsid w:val="244A43CF"/>
    <w:rsid w:val="24826001"/>
    <w:rsid w:val="24A844C1"/>
    <w:rsid w:val="254F6869"/>
    <w:rsid w:val="255A10F4"/>
    <w:rsid w:val="258554C7"/>
    <w:rsid w:val="25984109"/>
    <w:rsid w:val="25A775DA"/>
    <w:rsid w:val="25D7171C"/>
    <w:rsid w:val="25E65113"/>
    <w:rsid w:val="262234BA"/>
    <w:rsid w:val="265D4B23"/>
    <w:rsid w:val="26675D26"/>
    <w:rsid w:val="26771576"/>
    <w:rsid w:val="269375E1"/>
    <w:rsid w:val="26B81871"/>
    <w:rsid w:val="26C41AB8"/>
    <w:rsid w:val="27244317"/>
    <w:rsid w:val="27395806"/>
    <w:rsid w:val="274D4E12"/>
    <w:rsid w:val="275903E1"/>
    <w:rsid w:val="27716887"/>
    <w:rsid w:val="277B1E14"/>
    <w:rsid w:val="2792670E"/>
    <w:rsid w:val="27C31158"/>
    <w:rsid w:val="27D54FC0"/>
    <w:rsid w:val="27D944EE"/>
    <w:rsid w:val="28344EDC"/>
    <w:rsid w:val="28A6006C"/>
    <w:rsid w:val="28B128DA"/>
    <w:rsid w:val="28C70D51"/>
    <w:rsid w:val="28DB41E5"/>
    <w:rsid w:val="28DE3AB9"/>
    <w:rsid w:val="28EB4842"/>
    <w:rsid w:val="29181261"/>
    <w:rsid w:val="29240AD7"/>
    <w:rsid w:val="293027B6"/>
    <w:rsid w:val="295C605F"/>
    <w:rsid w:val="295E4B05"/>
    <w:rsid w:val="2960450A"/>
    <w:rsid w:val="298545BE"/>
    <w:rsid w:val="29A8408C"/>
    <w:rsid w:val="2A403B83"/>
    <w:rsid w:val="2A5A594C"/>
    <w:rsid w:val="2A8A24C2"/>
    <w:rsid w:val="2A9552F3"/>
    <w:rsid w:val="2AE31C1D"/>
    <w:rsid w:val="2AE830D7"/>
    <w:rsid w:val="2AED33AE"/>
    <w:rsid w:val="2B590C34"/>
    <w:rsid w:val="2B687B23"/>
    <w:rsid w:val="2BAC6E79"/>
    <w:rsid w:val="2BC97823"/>
    <w:rsid w:val="2BD43628"/>
    <w:rsid w:val="2C02237E"/>
    <w:rsid w:val="2C3D33B6"/>
    <w:rsid w:val="2CF03131"/>
    <w:rsid w:val="2CF9722B"/>
    <w:rsid w:val="2CFA4448"/>
    <w:rsid w:val="2D1B3053"/>
    <w:rsid w:val="2D1F50BE"/>
    <w:rsid w:val="2D28509C"/>
    <w:rsid w:val="2D4105C7"/>
    <w:rsid w:val="2DD2758A"/>
    <w:rsid w:val="2DDE4E1E"/>
    <w:rsid w:val="2DFE1007"/>
    <w:rsid w:val="2E2B34AA"/>
    <w:rsid w:val="2E397EAD"/>
    <w:rsid w:val="2E442B89"/>
    <w:rsid w:val="2E5C39CD"/>
    <w:rsid w:val="2E6A2B84"/>
    <w:rsid w:val="2E857246"/>
    <w:rsid w:val="2EBA608C"/>
    <w:rsid w:val="2EF42545"/>
    <w:rsid w:val="2EF6222B"/>
    <w:rsid w:val="2F245889"/>
    <w:rsid w:val="2F434BDE"/>
    <w:rsid w:val="2F6A2FD6"/>
    <w:rsid w:val="2FD615E4"/>
    <w:rsid w:val="2FD63F34"/>
    <w:rsid w:val="2FDF64BC"/>
    <w:rsid w:val="30007C03"/>
    <w:rsid w:val="303255D9"/>
    <w:rsid w:val="303F6996"/>
    <w:rsid w:val="30750635"/>
    <w:rsid w:val="30C00D45"/>
    <w:rsid w:val="310879B7"/>
    <w:rsid w:val="31332021"/>
    <w:rsid w:val="31824079"/>
    <w:rsid w:val="31A652A7"/>
    <w:rsid w:val="31AB1206"/>
    <w:rsid w:val="31B55224"/>
    <w:rsid w:val="31DA0D6C"/>
    <w:rsid w:val="32367EAF"/>
    <w:rsid w:val="3241567D"/>
    <w:rsid w:val="32455849"/>
    <w:rsid w:val="32770DA9"/>
    <w:rsid w:val="328A058E"/>
    <w:rsid w:val="32B20D1C"/>
    <w:rsid w:val="32C62710"/>
    <w:rsid w:val="3373321B"/>
    <w:rsid w:val="33752773"/>
    <w:rsid w:val="33BA44A9"/>
    <w:rsid w:val="33BC76FC"/>
    <w:rsid w:val="33CF1692"/>
    <w:rsid w:val="33EE5320"/>
    <w:rsid w:val="34104DB3"/>
    <w:rsid w:val="341F7131"/>
    <w:rsid w:val="34341325"/>
    <w:rsid w:val="34472091"/>
    <w:rsid w:val="345127AE"/>
    <w:rsid w:val="345A08B6"/>
    <w:rsid w:val="345A56A8"/>
    <w:rsid w:val="3467772B"/>
    <w:rsid w:val="347C46B5"/>
    <w:rsid w:val="34C72695"/>
    <w:rsid w:val="34E071B0"/>
    <w:rsid w:val="34FB605C"/>
    <w:rsid w:val="34FE2C83"/>
    <w:rsid w:val="357274FC"/>
    <w:rsid w:val="35C70D0B"/>
    <w:rsid w:val="35FA5C79"/>
    <w:rsid w:val="36436E5C"/>
    <w:rsid w:val="36A61B40"/>
    <w:rsid w:val="36AC6E66"/>
    <w:rsid w:val="36BD54B5"/>
    <w:rsid w:val="36DC63AF"/>
    <w:rsid w:val="36E940A8"/>
    <w:rsid w:val="370C5266"/>
    <w:rsid w:val="373E16A3"/>
    <w:rsid w:val="37691503"/>
    <w:rsid w:val="378D7584"/>
    <w:rsid w:val="37EB4003"/>
    <w:rsid w:val="380E6486"/>
    <w:rsid w:val="38AB32C0"/>
    <w:rsid w:val="38B8706B"/>
    <w:rsid w:val="38C87661"/>
    <w:rsid w:val="38FC4FCF"/>
    <w:rsid w:val="3905700A"/>
    <w:rsid w:val="391039D2"/>
    <w:rsid w:val="39301164"/>
    <w:rsid w:val="39406235"/>
    <w:rsid w:val="39460C51"/>
    <w:rsid w:val="39967F9B"/>
    <w:rsid w:val="39C86ABC"/>
    <w:rsid w:val="39F23A32"/>
    <w:rsid w:val="39F83A13"/>
    <w:rsid w:val="3A457FC6"/>
    <w:rsid w:val="3A584EF9"/>
    <w:rsid w:val="3A8F3D0F"/>
    <w:rsid w:val="3A9A29E8"/>
    <w:rsid w:val="3AB05385"/>
    <w:rsid w:val="3ABD146D"/>
    <w:rsid w:val="3AE60281"/>
    <w:rsid w:val="3B35257C"/>
    <w:rsid w:val="3B4C6BB0"/>
    <w:rsid w:val="3B7B5928"/>
    <w:rsid w:val="3B8C5AE0"/>
    <w:rsid w:val="3B996A09"/>
    <w:rsid w:val="3BBE2448"/>
    <w:rsid w:val="3C547D6B"/>
    <w:rsid w:val="3C870417"/>
    <w:rsid w:val="3C8C375F"/>
    <w:rsid w:val="3CAE7127"/>
    <w:rsid w:val="3CB12404"/>
    <w:rsid w:val="3CB465D6"/>
    <w:rsid w:val="3CD120B3"/>
    <w:rsid w:val="3D036A67"/>
    <w:rsid w:val="3D14443F"/>
    <w:rsid w:val="3D4F1BEC"/>
    <w:rsid w:val="3D57080E"/>
    <w:rsid w:val="3D7F141A"/>
    <w:rsid w:val="3E5D56EA"/>
    <w:rsid w:val="3E61110B"/>
    <w:rsid w:val="3E72153E"/>
    <w:rsid w:val="3E8704D7"/>
    <w:rsid w:val="3E8B4B84"/>
    <w:rsid w:val="3E8B6810"/>
    <w:rsid w:val="3EF0414E"/>
    <w:rsid w:val="3F1727F5"/>
    <w:rsid w:val="3F195A0F"/>
    <w:rsid w:val="3F315EB0"/>
    <w:rsid w:val="3F377EB6"/>
    <w:rsid w:val="3F387708"/>
    <w:rsid w:val="3F4C3D1C"/>
    <w:rsid w:val="3F8C2C33"/>
    <w:rsid w:val="3FA15C55"/>
    <w:rsid w:val="3FC255A4"/>
    <w:rsid w:val="3FD96668"/>
    <w:rsid w:val="3FDB51FD"/>
    <w:rsid w:val="3FF73BBE"/>
    <w:rsid w:val="3FF9143C"/>
    <w:rsid w:val="3FFB0C14"/>
    <w:rsid w:val="405462A1"/>
    <w:rsid w:val="40631DED"/>
    <w:rsid w:val="40672FD6"/>
    <w:rsid w:val="40D11E0F"/>
    <w:rsid w:val="41154325"/>
    <w:rsid w:val="41385251"/>
    <w:rsid w:val="41727385"/>
    <w:rsid w:val="41A35503"/>
    <w:rsid w:val="41A6077D"/>
    <w:rsid w:val="41F01A35"/>
    <w:rsid w:val="42305873"/>
    <w:rsid w:val="424D306B"/>
    <w:rsid w:val="42B01B03"/>
    <w:rsid w:val="42B71D1D"/>
    <w:rsid w:val="42C92DA4"/>
    <w:rsid w:val="42DD122A"/>
    <w:rsid w:val="43560B8E"/>
    <w:rsid w:val="43565F94"/>
    <w:rsid w:val="435C2844"/>
    <w:rsid w:val="43F35CCA"/>
    <w:rsid w:val="441E278A"/>
    <w:rsid w:val="44563722"/>
    <w:rsid w:val="449A5D35"/>
    <w:rsid w:val="44A373F6"/>
    <w:rsid w:val="44D97BA2"/>
    <w:rsid w:val="44DC2967"/>
    <w:rsid w:val="44F420A9"/>
    <w:rsid w:val="451F1A68"/>
    <w:rsid w:val="45331244"/>
    <w:rsid w:val="45493911"/>
    <w:rsid w:val="46113F90"/>
    <w:rsid w:val="462B01B2"/>
    <w:rsid w:val="46490C4A"/>
    <w:rsid w:val="4666117C"/>
    <w:rsid w:val="46701397"/>
    <w:rsid w:val="467120F7"/>
    <w:rsid w:val="467F11BF"/>
    <w:rsid w:val="46835315"/>
    <w:rsid w:val="46AC15A0"/>
    <w:rsid w:val="46B17BFF"/>
    <w:rsid w:val="46DA4AB1"/>
    <w:rsid w:val="46ED069B"/>
    <w:rsid w:val="46F8087B"/>
    <w:rsid w:val="470B56F9"/>
    <w:rsid w:val="47185722"/>
    <w:rsid w:val="47354BFE"/>
    <w:rsid w:val="4752414F"/>
    <w:rsid w:val="47594A4F"/>
    <w:rsid w:val="479F2531"/>
    <w:rsid w:val="47AC62A1"/>
    <w:rsid w:val="47BA179A"/>
    <w:rsid w:val="47F73775"/>
    <w:rsid w:val="47FC39A8"/>
    <w:rsid w:val="48187201"/>
    <w:rsid w:val="48714B44"/>
    <w:rsid w:val="48C62660"/>
    <w:rsid w:val="48C629DD"/>
    <w:rsid w:val="48EF543C"/>
    <w:rsid w:val="48F20A93"/>
    <w:rsid w:val="49AE1FDD"/>
    <w:rsid w:val="49B317A5"/>
    <w:rsid w:val="49D5167D"/>
    <w:rsid w:val="49E07F92"/>
    <w:rsid w:val="4A2B73D2"/>
    <w:rsid w:val="4A5D60F6"/>
    <w:rsid w:val="4AB77AAC"/>
    <w:rsid w:val="4AC60D92"/>
    <w:rsid w:val="4AC8643C"/>
    <w:rsid w:val="4ACE7B15"/>
    <w:rsid w:val="4AF07C29"/>
    <w:rsid w:val="4AF63559"/>
    <w:rsid w:val="4B010890"/>
    <w:rsid w:val="4B3A6FE7"/>
    <w:rsid w:val="4B501C00"/>
    <w:rsid w:val="4B7D65D5"/>
    <w:rsid w:val="4B936AD8"/>
    <w:rsid w:val="4BA44C63"/>
    <w:rsid w:val="4BCE0986"/>
    <w:rsid w:val="4BEA2F62"/>
    <w:rsid w:val="4BF56214"/>
    <w:rsid w:val="4C52297A"/>
    <w:rsid w:val="4C555B0B"/>
    <w:rsid w:val="4CC56E62"/>
    <w:rsid w:val="4D0E2454"/>
    <w:rsid w:val="4D1978A3"/>
    <w:rsid w:val="4D267F89"/>
    <w:rsid w:val="4D3B7475"/>
    <w:rsid w:val="4D653AF8"/>
    <w:rsid w:val="4D7C16AA"/>
    <w:rsid w:val="4D7E1BFE"/>
    <w:rsid w:val="4D9E2300"/>
    <w:rsid w:val="4DD23256"/>
    <w:rsid w:val="4E0A0AA6"/>
    <w:rsid w:val="4E0F717F"/>
    <w:rsid w:val="4E2620B8"/>
    <w:rsid w:val="4E3C74AB"/>
    <w:rsid w:val="4E8A2B28"/>
    <w:rsid w:val="4ED42EFA"/>
    <w:rsid w:val="4EF90CA7"/>
    <w:rsid w:val="4F423891"/>
    <w:rsid w:val="4F45538A"/>
    <w:rsid w:val="4F550CC9"/>
    <w:rsid w:val="4F6D0B9B"/>
    <w:rsid w:val="4F72262C"/>
    <w:rsid w:val="4F7A3C60"/>
    <w:rsid w:val="4F9820E0"/>
    <w:rsid w:val="4FD66FD8"/>
    <w:rsid w:val="4FFA3095"/>
    <w:rsid w:val="500C7349"/>
    <w:rsid w:val="50144E15"/>
    <w:rsid w:val="50223B85"/>
    <w:rsid w:val="50425775"/>
    <w:rsid w:val="5055431C"/>
    <w:rsid w:val="506555D2"/>
    <w:rsid w:val="50AB678D"/>
    <w:rsid w:val="50C37771"/>
    <w:rsid w:val="50C52BF2"/>
    <w:rsid w:val="51822EEB"/>
    <w:rsid w:val="51E57EA5"/>
    <w:rsid w:val="51F415F5"/>
    <w:rsid w:val="52272F39"/>
    <w:rsid w:val="522837DA"/>
    <w:rsid w:val="52440483"/>
    <w:rsid w:val="52536B2B"/>
    <w:rsid w:val="52BE0512"/>
    <w:rsid w:val="52C23AEB"/>
    <w:rsid w:val="52CE56E4"/>
    <w:rsid w:val="531B1586"/>
    <w:rsid w:val="53513120"/>
    <w:rsid w:val="535E16E6"/>
    <w:rsid w:val="53EE6BC1"/>
    <w:rsid w:val="541C7C40"/>
    <w:rsid w:val="5480317B"/>
    <w:rsid w:val="54A469DF"/>
    <w:rsid w:val="54C17CEA"/>
    <w:rsid w:val="557B3026"/>
    <w:rsid w:val="55804060"/>
    <w:rsid w:val="55D152A6"/>
    <w:rsid w:val="55DA1823"/>
    <w:rsid w:val="55DF13A0"/>
    <w:rsid w:val="56177D39"/>
    <w:rsid w:val="562D29ED"/>
    <w:rsid w:val="56345EBC"/>
    <w:rsid w:val="563F2A3F"/>
    <w:rsid w:val="56A60FEB"/>
    <w:rsid w:val="56CE11EC"/>
    <w:rsid w:val="56DF6A4C"/>
    <w:rsid w:val="56EB5E49"/>
    <w:rsid w:val="56FE7103"/>
    <w:rsid w:val="573D11D3"/>
    <w:rsid w:val="574F06DB"/>
    <w:rsid w:val="575D6629"/>
    <w:rsid w:val="577211BB"/>
    <w:rsid w:val="577B3096"/>
    <w:rsid w:val="58093C65"/>
    <w:rsid w:val="5835413B"/>
    <w:rsid w:val="583C3773"/>
    <w:rsid w:val="586B3415"/>
    <w:rsid w:val="586C75A4"/>
    <w:rsid w:val="58A97470"/>
    <w:rsid w:val="58BC4058"/>
    <w:rsid w:val="58CF4787"/>
    <w:rsid w:val="58EA29E6"/>
    <w:rsid w:val="58FC7EA8"/>
    <w:rsid w:val="590D176A"/>
    <w:rsid w:val="590D3B09"/>
    <w:rsid w:val="596455E2"/>
    <w:rsid w:val="59A150D8"/>
    <w:rsid w:val="59CF4D9E"/>
    <w:rsid w:val="59EA4662"/>
    <w:rsid w:val="5A0C77DF"/>
    <w:rsid w:val="5A1402CC"/>
    <w:rsid w:val="5A4009A8"/>
    <w:rsid w:val="5A4F321A"/>
    <w:rsid w:val="5A553C3A"/>
    <w:rsid w:val="5A630199"/>
    <w:rsid w:val="5A775598"/>
    <w:rsid w:val="5A841222"/>
    <w:rsid w:val="5ADE3FA6"/>
    <w:rsid w:val="5AE70B10"/>
    <w:rsid w:val="5B12677F"/>
    <w:rsid w:val="5B173C3C"/>
    <w:rsid w:val="5B463A84"/>
    <w:rsid w:val="5B516F14"/>
    <w:rsid w:val="5B7B115E"/>
    <w:rsid w:val="5BAA23EE"/>
    <w:rsid w:val="5BAA5192"/>
    <w:rsid w:val="5BE83007"/>
    <w:rsid w:val="5C0144B9"/>
    <w:rsid w:val="5C061F8E"/>
    <w:rsid w:val="5C2659E5"/>
    <w:rsid w:val="5C9327DD"/>
    <w:rsid w:val="5CAC1385"/>
    <w:rsid w:val="5CD32DE4"/>
    <w:rsid w:val="5CF76FF4"/>
    <w:rsid w:val="5D145CF4"/>
    <w:rsid w:val="5D1F31A5"/>
    <w:rsid w:val="5D210A11"/>
    <w:rsid w:val="5D5D28CB"/>
    <w:rsid w:val="5D9D2F71"/>
    <w:rsid w:val="5DAD1FB0"/>
    <w:rsid w:val="5DFB0D8F"/>
    <w:rsid w:val="5E152D9A"/>
    <w:rsid w:val="5E937ADE"/>
    <w:rsid w:val="5F5D46E6"/>
    <w:rsid w:val="5F67138C"/>
    <w:rsid w:val="5F690596"/>
    <w:rsid w:val="5F96371C"/>
    <w:rsid w:val="5FD26B7E"/>
    <w:rsid w:val="5FDD755F"/>
    <w:rsid w:val="601B6563"/>
    <w:rsid w:val="603C76D7"/>
    <w:rsid w:val="605944DC"/>
    <w:rsid w:val="60756F18"/>
    <w:rsid w:val="60942B3E"/>
    <w:rsid w:val="61012BEF"/>
    <w:rsid w:val="612A3050"/>
    <w:rsid w:val="612B0C0A"/>
    <w:rsid w:val="6149215A"/>
    <w:rsid w:val="614E68C8"/>
    <w:rsid w:val="617C18D9"/>
    <w:rsid w:val="61944F38"/>
    <w:rsid w:val="619B2336"/>
    <w:rsid w:val="61BF6952"/>
    <w:rsid w:val="61DE5889"/>
    <w:rsid w:val="623006FE"/>
    <w:rsid w:val="6284686A"/>
    <w:rsid w:val="62932A54"/>
    <w:rsid w:val="62941657"/>
    <w:rsid w:val="62AF4EBA"/>
    <w:rsid w:val="632E1F63"/>
    <w:rsid w:val="633621EB"/>
    <w:rsid w:val="63883F88"/>
    <w:rsid w:val="63CC60A6"/>
    <w:rsid w:val="63F61235"/>
    <w:rsid w:val="64325036"/>
    <w:rsid w:val="644E410B"/>
    <w:rsid w:val="64574BDC"/>
    <w:rsid w:val="64692A6A"/>
    <w:rsid w:val="64840195"/>
    <w:rsid w:val="64B51C0D"/>
    <w:rsid w:val="64C9632A"/>
    <w:rsid w:val="64FD2C3A"/>
    <w:rsid w:val="650E0AF1"/>
    <w:rsid w:val="65204B23"/>
    <w:rsid w:val="6529496A"/>
    <w:rsid w:val="65566ED6"/>
    <w:rsid w:val="659428F0"/>
    <w:rsid w:val="659979DF"/>
    <w:rsid w:val="65A802B2"/>
    <w:rsid w:val="65C27D8F"/>
    <w:rsid w:val="65F8256C"/>
    <w:rsid w:val="660173C0"/>
    <w:rsid w:val="661628D9"/>
    <w:rsid w:val="66367681"/>
    <w:rsid w:val="665702BA"/>
    <w:rsid w:val="66655CA5"/>
    <w:rsid w:val="666947FC"/>
    <w:rsid w:val="667C6A8F"/>
    <w:rsid w:val="66B1774E"/>
    <w:rsid w:val="672047E0"/>
    <w:rsid w:val="675B7459"/>
    <w:rsid w:val="676423AF"/>
    <w:rsid w:val="67995588"/>
    <w:rsid w:val="679C6021"/>
    <w:rsid w:val="67E6680A"/>
    <w:rsid w:val="67EF6B5C"/>
    <w:rsid w:val="680B4815"/>
    <w:rsid w:val="686B4497"/>
    <w:rsid w:val="687D4B30"/>
    <w:rsid w:val="68863099"/>
    <w:rsid w:val="68AC6F2A"/>
    <w:rsid w:val="68B16618"/>
    <w:rsid w:val="68E55B69"/>
    <w:rsid w:val="68F93E3B"/>
    <w:rsid w:val="692815CF"/>
    <w:rsid w:val="69463E35"/>
    <w:rsid w:val="696452F1"/>
    <w:rsid w:val="699927C4"/>
    <w:rsid w:val="6ACB72DC"/>
    <w:rsid w:val="6AD60984"/>
    <w:rsid w:val="6B100C7D"/>
    <w:rsid w:val="6B174D21"/>
    <w:rsid w:val="6B1D439F"/>
    <w:rsid w:val="6B377C79"/>
    <w:rsid w:val="6B72421C"/>
    <w:rsid w:val="6B752DE4"/>
    <w:rsid w:val="6B8B4233"/>
    <w:rsid w:val="6B906C9B"/>
    <w:rsid w:val="6BA071A3"/>
    <w:rsid w:val="6BA8091C"/>
    <w:rsid w:val="6BAF08D4"/>
    <w:rsid w:val="6BB7436A"/>
    <w:rsid w:val="6BC55D72"/>
    <w:rsid w:val="6BD80256"/>
    <w:rsid w:val="6BE20844"/>
    <w:rsid w:val="6C061F17"/>
    <w:rsid w:val="6C0D29F3"/>
    <w:rsid w:val="6C316B27"/>
    <w:rsid w:val="6C3B30B3"/>
    <w:rsid w:val="6C420FA3"/>
    <w:rsid w:val="6C4D57F2"/>
    <w:rsid w:val="6CBB1E35"/>
    <w:rsid w:val="6CD71472"/>
    <w:rsid w:val="6CF219FD"/>
    <w:rsid w:val="6D03269D"/>
    <w:rsid w:val="6D284A9A"/>
    <w:rsid w:val="6D290768"/>
    <w:rsid w:val="6D49397C"/>
    <w:rsid w:val="6D5A0812"/>
    <w:rsid w:val="6D6E6B67"/>
    <w:rsid w:val="6D774C82"/>
    <w:rsid w:val="6D9962BB"/>
    <w:rsid w:val="6D9C60FA"/>
    <w:rsid w:val="6DC04404"/>
    <w:rsid w:val="6DE77280"/>
    <w:rsid w:val="6DED4D3C"/>
    <w:rsid w:val="6E3D5776"/>
    <w:rsid w:val="6E8B2F81"/>
    <w:rsid w:val="6EBF3644"/>
    <w:rsid w:val="6EC10DF1"/>
    <w:rsid w:val="6ECB1EEE"/>
    <w:rsid w:val="6EE30296"/>
    <w:rsid w:val="6EF1234B"/>
    <w:rsid w:val="6F1D2D79"/>
    <w:rsid w:val="6F2363F0"/>
    <w:rsid w:val="6F2A414F"/>
    <w:rsid w:val="6F493B46"/>
    <w:rsid w:val="6F5A70A9"/>
    <w:rsid w:val="6F5D77FF"/>
    <w:rsid w:val="6F751A20"/>
    <w:rsid w:val="6FAB239D"/>
    <w:rsid w:val="70175D31"/>
    <w:rsid w:val="702D7B7D"/>
    <w:rsid w:val="70465371"/>
    <w:rsid w:val="70760167"/>
    <w:rsid w:val="70B8500F"/>
    <w:rsid w:val="70DD3DED"/>
    <w:rsid w:val="70FD2B10"/>
    <w:rsid w:val="71095E69"/>
    <w:rsid w:val="711B7CFC"/>
    <w:rsid w:val="714638BD"/>
    <w:rsid w:val="7173608B"/>
    <w:rsid w:val="719D6674"/>
    <w:rsid w:val="71B76A46"/>
    <w:rsid w:val="71CC3834"/>
    <w:rsid w:val="71FE00A2"/>
    <w:rsid w:val="721E1AF0"/>
    <w:rsid w:val="72247B32"/>
    <w:rsid w:val="729D6426"/>
    <w:rsid w:val="72A01749"/>
    <w:rsid w:val="72C05FC8"/>
    <w:rsid w:val="72C07712"/>
    <w:rsid w:val="72D00B0F"/>
    <w:rsid w:val="73301AE1"/>
    <w:rsid w:val="73365B88"/>
    <w:rsid w:val="735B2617"/>
    <w:rsid w:val="737D1235"/>
    <w:rsid w:val="73D40106"/>
    <w:rsid w:val="73FB3329"/>
    <w:rsid w:val="74090274"/>
    <w:rsid w:val="741D247B"/>
    <w:rsid w:val="74244350"/>
    <w:rsid w:val="74310A7E"/>
    <w:rsid w:val="74652B22"/>
    <w:rsid w:val="74696DC2"/>
    <w:rsid w:val="747A3CC4"/>
    <w:rsid w:val="747E6908"/>
    <w:rsid w:val="74997961"/>
    <w:rsid w:val="749B50A4"/>
    <w:rsid w:val="74CB2D70"/>
    <w:rsid w:val="74EB0F91"/>
    <w:rsid w:val="74F76C4F"/>
    <w:rsid w:val="7527591C"/>
    <w:rsid w:val="75473880"/>
    <w:rsid w:val="7599657A"/>
    <w:rsid w:val="75CC3E08"/>
    <w:rsid w:val="75D24225"/>
    <w:rsid w:val="75FD4522"/>
    <w:rsid w:val="76186119"/>
    <w:rsid w:val="76264AD7"/>
    <w:rsid w:val="76740F1E"/>
    <w:rsid w:val="767439D0"/>
    <w:rsid w:val="76D76A1B"/>
    <w:rsid w:val="76EF4737"/>
    <w:rsid w:val="770E745E"/>
    <w:rsid w:val="77364A72"/>
    <w:rsid w:val="777C26B4"/>
    <w:rsid w:val="77A04B2C"/>
    <w:rsid w:val="77AD2BAD"/>
    <w:rsid w:val="77C92610"/>
    <w:rsid w:val="77E325ED"/>
    <w:rsid w:val="78340398"/>
    <w:rsid w:val="78832440"/>
    <w:rsid w:val="78836654"/>
    <w:rsid w:val="788D0113"/>
    <w:rsid w:val="78BA658F"/>
    <w:rsid w:val="78E674C1"/>
    <w:rsid w:val="78F20B6E"/>
    <w:rsid w:val="79283D37"/>
    <w:rsid w:val="7937496A"/>
    <w:rsid w:val="7991182E"/>
    <w:rsid w:val="79A612B2"/>
    <w:rsid w:val="79BD5919"/>
    <w:rsid w:val="79D92139"/>
    <w:rsid w:val="79D96905"/>
    <w:rsid w:val="79DC647D"/>
    <w:rsid w:val="7A5B2271"/>
    <w:rsid w:val="7A656080"/>
    <w:rsid w:val="7A6E0552"/>
    <w:rsid w:val="7AA30883"/>
    <w:rsid w:val="7AC85B28"/>
    <w:rsid w:val="7B14397D"/>
    <w:rsid w:val="7B221A76"/>
    <w:rsid w:val="7B760AA7"/>
    <w:rsid w:val="7B7A59E8"/>
    <w:rsid w:val="7B834DE1"/>
    <w:rsid w:val="7C1246B8"/>
    <w:rsid w:val="7C6739C4"/>
    <w:rsid w:val="7CA11A08"/>
    <w:rsid w:val="7CEB3E33"/>
    <w:rsid w:val="7D0B0D5D"/>
    <w:rsid w:val="7D322708"/>
    <w:rsid w:val="7D5516F3"/>
    <w:rsid w:val="7D6E1E08"/>
    <w:rsid w:val="7D786F0E"/>
    <w:rsid w:val="7D9608B1"/>
    <w:rsid w:val="7DE466EA"/>
    <w:rsid w:val="7E74494B"/>
    <w:rsid w:val="7E9A416D"/>
    <w:rsid w:val="7EA57A42"/>
    <w:rsid w:val="7EAB7E6A"/>
    <w:rsid w:val="7EC56809"/>
    <w:rsid w:val="7F00499B"/>
    <w:rsid w:val="7F77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仿宋_GB2312" w:eastAsia="仿宋_GB2312" w:hAnsiTheme="minorHAnsi" w:cstheme="minorBidi"/>
      <w:kern w:val="2"/>
      <w:sz w:val="28"/>
      <w:szCs w:val="24"/>
      <w:lang w:val="en-US" w:eastAsia="zh-CN" w:bidi="ar-SA"/>
    </w:rPr>
  </w:style>
  <w:style w:type="paragraph" w:styleId="4">
    <w:name w:val="heading 1"/>
    <w:basedOn w:val="1"/>
    <w:next w:val="1"/>
    <w:qFormat/>
    <w:uiPriority w:val="0"/>
    <w:pPr>
      <w:ind w:firstLine="200"/>
      <w:outlineLvl w:val="0"/>
    </w:pPr>
    <w:rPr>
      <w:rFonts w:eastAsia="黑体"/>
      <w:bCs/>
      <w:kern w:val="44"/>
      <w:szCs w:val="44"/>
    </w:rPr>
  </w:style>
  <w:style w:type="paragraph" w:styleId="5">
    <w:name w:val="heading 2"/>
    <w:basedOn w:val="1"/>
    <w:next w:val="1"/>
    <w:unhideWhenUsed/>
    <w:qFormat/>
    <w:uiPriority w:val="0"/>
    <w:pPr>
      <w:ind w:firstLine="200"/>
      <w:outlineLvl w:val="1"/>
    </w:pPr>
    <w:rPr>
      <w:rFonts w:ascii="Arial" w:hAnsi="Arial" w:eastAsia="楷体_GB2312"/>
    </w:rPr>
  </w:style>
  <w:style w:type="paragraph" w:styleId="6">
    <w:name w:val="heading 3"/>
    <w:basedOn w:val="1"/>
    <w:next w:val="1"/>
    <w:unhideWhenUsed/>
    <w:qFormat/>
    <w:uiPriority w:val="0"/>
    <w:pPr>
      <w:ind w:firstLine="200"/>
      <w:outlineLvl w:val="2"/>
    </w:pPr>
    <w:rPr>
      <w:b/>
      <w:bCs/>
      <w:szCs w:val="32"/>
    </w:rPr>
  </w:style>
  <w:style w:type="paragraph" w:styleId="7">
    <w:name w:val="heading 4"/>
    <w:basedOn w:val="1"/>
    <w:next w:val="1"/>
    <w:unhideWhenUsed/>
    <w:qFormat/>
    <w:uiPriority w:val="0"/>
    <w:pPr>
      <w:ind w:firstLine="0" w:firstLineChars="0"/>
      <w:jc w:val="center"/>
      <w:outlineLvl w:val="3"/>
    </w:pPr>
    <w:rPr>
      <w:rFonts w:ascii="宋体" w:hAnsi="宋体" w:eastAsia="宋体" w:cstheme="majorBidi"/>
      <w:bCs/>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120"/>
    </w:pPr>
  </w:style>
  <w:style w:type="paragraph" w:styleId="3">
    <w:name w:val="Plain Text"/>
    <w:basedOn w:val="1"/>
    <w:qFormat/>
    <w:uiPriority w:val="0"/>
    <w:rPr>
      <w:rFonts w:ascii="宋体" w:hAnsi="Courier New"/>
      <w:szCs w:val="20"/>
    </w:rPr>
  </w:style>
  <w:style w:type="paragraph" w:styleId="8">
    <w:name w:val="annotation text"/>
    <w:basedOn w:val="1"/>
    <w:link w:val="26"/>
    <w:qFormat/>
    <w:uiPriority w:val="0"/>
    <w:pPr>
      <w:jc w:val="left"/>
    </w:pPr>
  </w:style>
  <w:style w:type="paragraph" w:styleId="9">
    <w:name w:val="Body Text Indent 2"/>
    <w:basedOn w:val="1"/>
    <w:semiHidden/>
    <w:unhideWhenUsed/>
    <w:qFormat/>
    <w:uiPriority w:val="99"/>
    <w:pPr>
      <w:spacing w:after="120" w:line="480" w:lineRule="auto"/>
      <w:ind w:left="420" w:leftChars="200"/>
    </w:pPr>
  </w:style>
  <w:style w:type="paragraph" w:styleId="10">
    <w:name w:val="footer"/>
    <w:basedOn w:val="1"/>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annotation subject"/>
    <w:basedOn w:val="8"/>
    <w:next w:val="8"/>
    <w:link w:val="27"/>
    <w:qFormat/>
    <w:uiPriority w:val="0"/>
    <w:rPr>
      <w:b/>
      <w:bCs/>
    </w:rPr>
  </w:style>
  <w:style w:type="table" w:styleId="17">
    <w:name w:val="Table Grid"/>
    <w:basedOn w:val="1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FollowedHyperlink"/>
    <w:basedOn w:val="18"/>
    <w:qFormat/>
    <w:uiPriority w:val="0"/>
    <w:rPr>
      <w:color w:val="333333"/>
      <w:u w:val="none"/>
    </w:rPr>
  </w:style>
  <w:style w:type="character" w:styleId="20">
    <w:name w:val="annotation reference"/>
    <w:basedOn w:val="18"/>
    <w:qFormat/>
    <w:uiPriority w:val="0"/>
    <w:rPr>
      <w:sz w:val="21"/>
      <w:szCs w:val="21"/>
    </w:rPr>
  </w:style>
  <w:style w:type="character" w:customStyle="1" w:styleId="21">
    <w:name w:val="font31"/>
    <w:basedOn w:val="18"/>
    <w:qFormat/>
    <w:uiPriority w:val="0"/>
    <w:rPr>
      <w:rFonts w:hint="eastAsia" w:ascii="宋体" w:hAnsi="宋体" w:eastAsia="宋体" w:cs="宋体"/>
      <w:color w:val="000000"/>
      <w:sz w:val="18"/>
      <w:szCs w:val="18"/>
      <w:u w:val="none"/>
      <w:vertAlign w:val="superscript"/>
    </w:rPr>
  </w:style>
  <w:style w:type="character" w:customStyle="1" w:styleId="22">
    <w:name w:val="font11"/>
    <w:basedOn w:val="18"/>
    <w:qFormat/>
    <w:uiPriority w:val="0"/>
    <w:rPr>
      <w:rFonts w:hint="eastAsia" w:ascii="宋体" w:hAnsi="宋体" w:eastAsia="宋体" w:cs="宋体"/>
      <w:color w:val="000000"/>
      <w:sz w:val="18"/>
      <w:szCs w:val="18"/>
      <w:u w:val="none"/>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正文1"/>
    <w:basedOn w:val="1"/>
    <w:qFormat/>
    <w:uiPriority w:val="0"/>
    <w:pPr>
      <w:autoSpaceDE w:val="0"/>
      <w:autoSpaceDN w:val="0"/>
      <w:spacing w:line="240" w:lineRule="auto"/>
      <w:ind w:firstLine="723"/>
      <w:jc w:val="left"/>
    </w:pPr>
    <w:rPr>
      <w:rFonts w:ascii="Times New Roman" w:hAnsi="Times New Roman" w:eastAsia="仿宋" w:cs="Times New Roman"/>
      <w:kern w:val="0"/>
      <w:szCs w:val="22"/>
      <w:lang w:val="zh-CN" w:bidi="zh-CN"/>
    </w:rPr>
  </w:style>
  <w:style w:type="character" w:customStyle="1" w:styleId="26">
    <w:name w:val="批注文字 字符"/>
    <w:basedOn w:val="18"/>
    <w:link w:val="8"/>
    <w:qFormat/>
    <w:uiPriority w:val="0"/>
    <w:rPr>
      <w:rFonts w:ascii="仿宋_GB2312" w:eastAsia="仿宋_GB2312" w:hAnsiTheme="minorHAnsi" w:cstheme="minorBidi"/>
      <w:kern w:val="2"/>
      <w:sz w:val="28"/>
      <w:szCs w:val="24"/>
    </w:rPr>
  </w:style>
  <w:style w:type="character" w:customStyle="1" w:styleId="27">
    <w:name w:val="批注主题 字符"/>
    <w:basedOn w:val="26"/>
    <w:link w:val="15"/>
    <w:qFormat/>
    <w:uiPriority w:val="0"/>
    <w:rPr>
      <w:rFonts w:ascii="仿宋_GB2312" w:eastAsia="仿宋_GB2312" w:hAnsiTheme="minorHAnsi" w:cstheme="minorBidi"/>
      <w:b/>
      <w:bCs/>
      <w:kern w:val="2"/>
      <w:sz w:val="28"/>
      <w:szCs w:val="24"/>
    </w:rPr>
  </w:style>
  <w:style w:type="paragraph" w:customStyle="1" w:styleId="28">
    <w:name w:val="Revision"/>
    <w:hidden/>
    <w:semiHidden/>
    <w:qFormat/>
    <w:uiPriority w:val="99"/>
    <w:rPr>
      <w:rFonts w:ascii="仿宋_GB2312" w:eastAsia="仿宋_GB2312" w:hAnsiTheme="minorHAnsi" w:cstheme="minorBidi"/>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7935</Words>
  <Characters>8655</Characters>
  <Lines>274</Lines>
  <Paragraphs>77</Paragraphs>
  <TotalTime>1</TotalTime>
  <ScaleCrop>false</ScaleCrop>
  <LinksUpToDate>false</LinksUpToDate>
  <CharactersWithSpaces>8678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2021-01-29T00:50:00Z</dcterms:created>
  <dc:creator>跟空气撒个娇</dc:creator>
  <cp:lastModifiedBy>李智勇</cp:lastModifiedBy>
  <dcterms:modified xsi:type="dcterms:W3CDTF">2022-09-13T11:37:17Z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63115426408249D5A3FDB117FC258D56</vt:lpwstr>
  </property>
</Properties>
</file>