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40"/>
        </w:rPr>
      </w:pPr>
    </w:p>
    <w:p>
      <w:pPr>
        <w:pStyle w:val="2"/>
        <w:rPr>
          <w:b/>
          <w:bCs/>
          <w:sz w:val="32"/>
          <w:szCs w:val="40"/>
        </w:rPr>
      </w:pPr>
    </w:p>
    <w:p>
      <w:pPr>
        <w:pStyle w:val="3"/>
      </w:pPr>
      <w:bookmarkStart w:id="161" w:name="_GoBack"/>
      <w:bookmarkEnd w:id="161"/>
    </w:p>
    <w:p>
      <w:pPr>
        <w:pStyle w:val="33"/>
        <w:spacing w:after="240"/>
        <w:rPr>
          <w:rFonts w:ascii="方正小标宋简体" w:hAnsi="方正小标宋简体" w:cs="方正小标宋简体"/>
          <w:sz w:val="44"/>
          <w:szCs w:val="44"/>
        </w:rPr>
      </w:pPr>
      <w:r>
        <w:rPr>
          <w:rFonts w:hint="eastAsia" w:ascii="方正小标宋简体" w:hAnsi="方正小标宋简体" w:cs="方正小标宋简体"/>
          <w:sz w:val="44"/>
          <w:szCs w:val="44"/>
        </w:rPr>
        <w:t>宁武县扶贫开发办公室2020年统筹</w:t>
      </w:r>
    </w:p>
    <w:p>
      <w:pPr>
        <w:pStyle w:val="33"/>
        <w:spacing w:after="240"/>
        <w:rPr>
          <w:sz w:val="44"/>
          <w:szCs w:val="44"/>
        </w:rPr>
      </w:pPr>
      <w:r>
        <w:rPr>
          <w:rFonts w:hint="eastAsia" w:ascii="方正小标宋简体" w:hAnsi="方正小标宋简体" w:cs="方正小标宋简体"/>
          <w:sz w:val="44"/>
          <w:szCs w:val="44"/>
        </w:rPr>
        <w:t>整合财政资金绩效评价报告</w:t>
      </w:r>
    </w:p>
    <w:p>
      <w:pPr>
        <w:autoSpaceDE w:val="0"/>
        <w:autoSpaceDN w:val="0"/>
        <w:adjustRightInd w:val="0"/>
        <w:spacing w:line="600" w:lineRule="atLeast"/>
        <w:jc w:val="center"/>
        <w:rPr>
          <w:rFonts w:ascii="仿宋_GB2312" w:hAnsi="宋体" w:eastAsia="仿宋_GB2312" w:cs="仿宋"/>
          <w:bCs/>
          <w:kern w:val="0"/>
          <w:sz w:val="32"/>
          <w:szCs w:val="32"/>
        </w:rPr>
      </w:pPr>
    </w:p>
    <w:p>
      <w:pPr>
        <w:autoSpaceDE w:val="0"/>
        <w:autoSpaceDN w:val="0"/>
        <w:adjustRightInd w:val="0"/>
        <w:spacing w:line="600" w:lineRule="atLeast"/>
        <w:jc w:val="center"/>
        <w:rPr>
          <w:rFonts w:ascii="仿宋_GB2312" w:hAnsi="宋体" w:eastAsia="仿宋_GB2312" w:cs="仿宋"/>
          <w:kern w:val="0"/>
          <w:sz w:val="32"/>
          <w:szCs w:val="32"/>
        </w:rPr>
      </w:pPr>
    </w:p>
    <w:p>
      <w:pPr>
        <w:autoSpaceDE w:val="0"/>
        <w:autoSpaceDN w:val="0"/>
        <w:adjustRightInd w:val="0"/>
        <w:spacing w:line="600" w:lineRule="atLeast"/>
        <w:jc w:val="center"/>
        <w:rPr>
          <w:rFonts w:ascii="仿宋_GB2312" w:hAnsi="宋体" w:eastAsia="仿宋_GB2312" w:cs="仿宋"/>
          <w:kern w:val="0"/>
          <w:sz w:val="32"/>
          <w:szCs w:val="32"/>
        </w:rPr>
      </w:pPr>
    </w:p>
    <w:p>
      <w:pPr>
        <w:pStyle w:val="2"/>
      </w:pPr>
    </w:p>
    <w:p>
      <w:pPr>
        <w:autoSpaceDE w:val="0"/>
        <w:autoSpaceDN w:val="0"/>
        <w:adjustRightInd w:val="0"/>
        <w:spacing w:line="600" w:lineRule="atLeast"/>
        <w:jc w:val="center"/>
        <w:rPr>
          <w:rFonts w:ascii="仿宋_GB2312" w:hAnsi="宋体" w:eastAsia="仿宋_GB2312" w:cs="仿宋"/>
          <w:kern w:val="0"/>
          <w:sz w:val="32"/>
          <w:szCs w:val="32"/>
        </w:rPr>
      </w:pPr>
    </w:p>
    <w:p>
      <w:pPr>
        <w:pStyle w:val="2"/>
        <w:rPr>
          <w:rFonts w:ascii="仿宋_GB2312" w:hAnsi="宋体" w:eastAsia="仿宋_GB2312" w:cs="仿宋"/>
          <w:kern w:val="0"/>
          <w:sz w:val="32"/>
          <w:szCs w:val="32"/>
        </w:rPr>
      </w:pPr>
    </w:p>
    <w:p>
      <w:pPr>
        <w:pStyle w:val="2"/>
        <w:rPr>
          <w:rFonts w:ascii="仿宋_GB2312" w:hAnsi="宋体" w:eastAsia="仿宋_GB2312" w:cs="仿宋"/>
          <w:kern w:val="0"/>
          <w:sz w:val="32"/>
          <w:szCs w:val="32"/>
        </w:rPr>
      </w:pPr>
    </w:p>
    <w:p>
      <w:pPr>
        <w:autoSpaceDE w:val="0"/>
        <w:autoSpaceDN w:val="0"/>
        <w:adjustRightInd w:val="0"/>
        <w:spacing w:line="600" w:lineRule="atLeast"/>
        <w:ind w:firstLine="640" w:firstLineChars="200"/>
        <w:rPr>
          <w:rFonts w:ascii="仿宋_GB2312" w:hAnsi="宋体" w:eastAsia="仿宋_GB2312" w:cs="仿宋"/>
          <w:kern w:val="0"/>
          <w:sz w:val="32"/>
          <w:szCs w:val="32"/>
        </w:rPr>
      </w:pPr>
    </w:p>
    <w:p>
      <w:pPr>
        <w:autoSpaceDE w:val="0"/>
        <w:autoSpaceDN w:val="0"/>
        <w:adjustRightInd w:val="0"/>
        <w:spacing w:before="120" w:beforeLines="50" w:after="120" w:afterLines="50" w:line="600" w:lineRule="atLeast"/>
        <w:ind w:left="210" w:leftChars="100" w:firstLine="320" w:firstLineChars="100"/>
        <w:jc w:val="left"/>
        <w:rPr>
          <w:rFonts w:ascii="黑体" w:hAnsi="宋体" w:eastAsia="黑体" w:cs="黑体"/>
          <w:kern w:val="0"/>
          <w:sz w:val="32"/>
          <w:szCs w:val="32"/>
        </w:rPr>
      </w:pPr>
      <w:r>
        <w:rPr>
          <w:rFonts w:hint="eastAsia" w:ascii="黑体" w:hAnsi="宋体" w:eastAsia="黑体" w:cs="黑体"/>
          <w:kern w:val="0"/>
          <w:sz w:val="32"/>
          <w:szCs w:val="32"/>
          <w:lang w:val="en-US" w:eastAsia="zh-CN"/>
        </w:rPr>
        <w:t>单位名称</w:t>
      </w:r>
      <w:r>
        <w:rPr>
          <w:rFonts w:hint="eastAsia" w:ascii="黑体" w:hAnsi="宋体" w:eastAsia="黑体" w:cs="黑体"/>
          <w:kern w:val="0"/>
          <w:sz w:val="32"/>
          <w:szCs w:val="32"/>
        </w:rPr>
        <w:t>：宁武县扶贫开发办公室</w:t>
      </w:r>
    </w:p>
    <w:p>
      <w:pPr>
        <w:autoSpaceDE w:val="0"/>
        <w:autoSpaceDN w:val="0"/>
        <w:adjustRightInd w:val="0"/>
        <w:spacing w:before="120" w:beforeLines="50" w:after="120" w:afterLines="50" w:line="600" w:lineRule="atLeast"/>
        <w:ind w:left="210" w:leftChars="100" w:firstLine="320" w:firstLineChars="100"/>
        <w:jc w:val="left"/>
        <w:rPr>
          <w:rFonts w:ascii="黑体" w:hAnsi="宋体" w:eastAsia="黑体" w:cs="黑体"/>
          <w:kern w:val="0"/>
          <w:sz w:val="32"/>
          <w:szCs w:val="32"/>
        </w:rPr>
      </w:pPr>
      <w:r>
        <w:rPr>
          <w:rFonts w:hint="eastAsia" w:ascii="黑体" w:hAnsi="宋体" w:eastAsia="黑体" w:cs="黑体"/>
          <w:kern w:val="0"/>
          <w:sz w:val="32"/>
          <w:szCs w:val="32"/>
        </w:rPr>
        <w:t>委托单位：宁武县财政局</w:t>
      </w:r>
    </w:p>
    <w:p>
      <w:pPr>
        <w:autoSpaceDE w:val="0"/>
        <w:autoSpaceDN w:val="0"/>
        <w:adjustRightInd w:val="0"/>
        <w:spacing w:before="120" w:beforeLines="50" w:after="120" w:afterLines="50" w:line="600" w:lineRule="atLeast"/>
        <w:ind w:left="3089" w:leftChars="252" w:hanging="2560" w:hangingChars="800"/>
        <w:jc w:val="left"/>
        <w:rPr>
          <w:rFonts w:ascii="黑体" w:hAnsi="宋体" w:eastAsia="黑体" w:cs="黑体"/>
          <w:kern w:val="0"/>
          <w:sz w:val="32"/>
          <w:szCs w:val="32"/>
        </w:rPr>
      </w:pPr>
      <w:r>
        <w:rPr>
          <w:rFonts w:hint="eastAsia" w:ascii="黑体" w:hAnsi="宋体" w:eastAsia="黑体" w:cs="黑体"/>
          <w:kern w:val="0"/>
          <w:sz w:val="32"/>
          <w:szCs w:val="32"/>
        </w:rPr>
        <w:t xml:space="preserve">评价机构：山西亚泰会计师事务所有限公司              </w:t>
      </w:r>
    </w:p>
    <w:p>
      <w:pPr>
        <w:pStyle w:val="2"/>
        <w:rPr>
          <w:rFonts w:ascii="黑体" w:hAnsi="宋体" w:eastAsia="黑体" w:cs="黑体"/>
          <w:kern w:val="0"/>
          <w:sz w:val="32"/>
          <w:szCs w:val="32"/>
        </w:rPr>
      </w:pPr>
    </w:p>
    <w:p>
      <w:pPr>
        <w:autoSpaceDE w:val="0"/>
        <w:autoSpaceDN w:val="0"/>
        <w:adjustRightInd w:val="0"/>
        <w:spacing w:line="600" w:lineRule="atLeast"/>
        <w:jc w:val="center"/>
        <w:rPr>
          <w:rFonts w:ascii="仿宋_GB2312" w:hAnsi="仿宋_GB2312" w:eastAsia="仿宋_GB2312" w:cs="仿宋_GB2312"/>
          <w:szCs w:val="36"/>
        </w:rPr>
      </w:pPr>
      <w:r>
        <w:rPr>
          <w:rFonts w:hint="eastAsia" w:ascii="黑体" w:hAnsi="宋体" w:eastAsia="黑体" w:cs="黑体"/>
          <w:kern w:val="0"/>
          <w:sz w:val="32"/>
          <w:szCs w:val="32"/>
        </w:rPr>
        <w:t>二〇二一年十月</w:t>
      </w:r>
    </w:p>
    <w:p>
      <w:pPr>
        <w:spacing w:before="120" w:beforeLines="50" w:after="120" w:afterLines="50"/>
        <w:jc w:val="center"/>
        <w:rPr>
          <w:rFonts w:ascii="宋体" w:hAnsi="宋体" w:eastAsia="宋体"/>
        </w:rPr>
        <w:sectPr>
          <w:headerReference r:id="rId3" w:type="default"/>
          <w:footerReference r:id="rId4" w:type="default"/>
          <w:pgSz w:w="11905" w:h="16838"/>
          <w:pgMar w:top="2041" w:right="1417" w:bottom="1417" w:left="1531" w:header="850" w:footer="992" w:gutter="0"/>
          <w:pgBorders>
            <w:top w:val="none" w:sz="0" w:space="0"/>
            <w:left w:val="none" w:sz="0" w:space="0"/>
            <w:bottom w:val="none" w:sz="0" w:space="0"/>
            <w:right w:val="none" w:sz="0" w:space="0"/>
          </w:pgBorders>
          <w:pgNumType w:fmt="decimal" w:start="1"/>
          <w:cols w:space="0" w:num="1"/>
          <w:docGrid w:linePitch="312" w:charSpace="0"/>
        </w:sectPr>
      </w:pPr>
    </w:p>
    <w:p>
      <w:pPr>
        <w:pStyle w:val="33"/>
        <w:keepNext w:val="0"/>
        <w:keepLines w:val="0"/>
        <w:pageBreakBefore w:val="0"/>
        <w:widowControl/>
        <w:kinsoku/>
        <w:wordWrap/>
        <w:overflowPunct/>
        <w:topLinePunct w:val="0"/>
        <w:autoSpaceDE/>
        <w:autoSpaceDN/>
        <w:bidi w:val="0"/>
        <w:adjustRightInd/>
        <w:snapToGrid/>
        <w:spacing w:after="0" w:afterLines="0" w:line="360" w:lineRule="auto"/>
        <w:textAlignment w:val="auto"/>
        <w:rPr>
          <w:rFonts w:ascii="方正小标宋简体" w:hAnsi="方正小标宋简体" w:cs="方正小标宋简体"/>
        </w:rPr>
      </w:pPr>
      <w:r>
        <w:rPr>
          <w:rFonts w:hint="eastAsia" w:ascii="方正小标宋简体" w:hAnsi="方正小标宋简体" w:cs="方正小标宋简体"/>
        </w:rPr>
        <w:t>宁武县扶贫开发办公室2020年统筹</w:t>
      </w:r>
    </w:p>
    <w:p>
      <w:pPr>
        <w:pStyle w:val="33"/>
        <w:keepNext w:val="0"/>
        <w:keepLines w:val="0"/>
        <w:pageBreakBefore w:val="0"/>
        <w:widowControl/>
        <w:kinsoku/>
        <w:wordWrap/>
        <w:overflowPunct/>
        <w:topLinePunct w:val="0"/>
        <w:autoSpaceDE/>
        <w:autoSpaceDN/>
        <w:bidi w:val="0"/>
        <w:adjustRightInd/>
        <w:snapToGrid/>
        <w:spacing w:after="0" w:afterLines="0" w:line="360" w:lineRule="auto"/>
        <w:textAlignment w:val="auto"/>
        <w:rPr>
          <w:rFonts w:ascii="方正小标宋简体" w:hAnsi="方正小标宋简体" w:cs="方正小标宋简体"/>
          <w:szCs w:val="36"/>
        </w:rPr>
      </w:pPr>
      <w:r>
        <w:rPr>
          <w:rFonts w:hint="eastAsia" w:ascii="方正小标宋简体" w:hAnsi="方正小标宋简体" w:cs="方正小标宋简体"/>
        </w:rPr>
        <w:t>整合财政资金绩效评价报告</w:t>
      </w:r>
    </w:p>
    <w:p>
      <w:pPr>
        <w:pStyle w:val="33"/>
        <w:keepNext w:val="0"/>
        <w:keepLines w:val="0"/>
        <w:pageBreakBefore w:val="0"/>
        <w:widowControl/>
        <w:kinsoku/>
        <w:wordWrap/>
        <w:overflowPunct/>
        <w:topLinePunct w:val="0"/>
        <w:autoSpaceDE/>
        <w:autoSpaceDN/>
        <w:bidi w:val="0"/>
        <w:adjustRightInd/>
        <w:snapToGrid/>
        <w:spacing w:after="0" w:afterLines="0" w:line="360" w:lineRule="auto"/>
        <w:ind w:firstLine="560" w:firstLineChars="200"/>
        <w:jc w:val="both"/>
        <w:textAlignment w:val="auto"/>
        <w:rPr>
          <w:rFonts w:hint="eastAsia" w:ascii="仿宋_GB2312" w:hAnsi="仿宋_GB2312" w:eastAsia="仿宋_GB2312" w:cstheme="minorBidi"/>
          <w:kern w:val="2"/>
          <w:sz w:val="28"/>
          <w:szCs w:val="32"/>
          <w:lang w:val="en-US" w:eastAsia="zh-CN" w:bidi="ar-SA"/>
        </w:rPr>
      </w:pPr>
      <w:bookmarkStart w:id="0" w:name="_Toc13435"/>
      <w:r>
        <w:rPr>
          <w:rFonts w:hint="eastAsia" w:ascii="仿宋_GB2312" w:hAnsi="仿宋_GB2312" w:eastAsia="仿宋_GB2312" w:cstheme="minorBidi"/>
          <w:kern w:val="2"/>
          <w:sz w:val="28"/>
          <w:szCs w:val="32"/>
          <w:lang w:val="en-US" w:eastAsia="zh-CN" w:bidi="ar-SA"/>
        </w:rPr>
        <w:t>为深入贯彻落实《中共山西省委 山西省人民政府关于全面实施预算绩效管理的实施意见》（晋发〔2018〕39号）文件精神，全面实施预算绩效管理，提高财政资源配置效率和使用效益，增强财政支出的责任和效率意识，根据《中共宁武县委 宁武县人民政府关于全面实施预算绩效管理的实施办法》（宁发〔2020〕22号），受宁武县财政局委托，山西亚泰会计师事务所有限公司于2021年10月对宁武县扶贫开发办公室2020年统筹整合财政资金进行了绩效评价，现将此次绩效评价情况报告如下。</w:t>
      </w:r>
      <w:bookmarkEnd w:id="0"/>
    </w:p>
    <w:p>
      <w:pPr>
        <w:pStyle w:val="4"/>
        <w:ind w:firstLine="560"/>
        <w:rPr>
          <w:rFonts w:ascii="黑体" w:hAnsi="黑体" w:cs="黑体"/>
          <w:b/>
          <w:szCs w:val="28"/>
        </w:rPr>
      </w:pPr>
      <w:bookmarkStart w:id="1" w:name="_Toc30955"/>
      <w:bookmarkStart w:id="2" w:name="_Toc3116"/>
      <w:bookmarkStart w:id="3" w:name="_Toc28233"/>
      <w:r>
        <w:rPr>
          <w:rFonts w:hint="eastAsia"/>
        </w:rPr>
        <w:t>一、项目基本情况</w:t>
      </w:r>
      <w:bookmarkEnd w:id="1"/>
      <w:bookmarkEnd w:id="2"/>
      <w:bookmarkEnd w:id="3"/>
    </w:p>
    <w:p>
      <w:pPr>
        <w:pStyle w:val="5"/>
        <w:keepNext w:val="0"/>
        <w:ind w:firstLine="560"/>
        <w:jc w:val="both"/>
        <w:rPr>
          <w:rFonts w:hint="eastAsia" w:eastAsia="楷体_GB2312"/>
          <w:lang w:eastAsia="zh-CN"/>
        </w:rPr>
      </w:pPr>
      <w:bookmarkStart w:id="4" w:name="_Toc3919"/>
      <w:bookmarkStart w:id="5" w:name="_Toc15024"/>
      <w:bookmarkStart w:id="6" w:name="_Toc3710"/>
      <w:r>
        <w:rPr>
          <w:rFonts w:hint="eastAsia"/>
        </w:rPr>
        <w:t>（一）项目</w:t>
      </w:r>
      <w:bookmarkEnd w:id="4"/>
      <w:bookmarkEnd w:id="5"/>
      <w:bookmarkEnd w:id="6"/>
      <w:r>
        <w:rPr>
          <w:rFonts w:hint="eastAsia"/>
          <w:lang w:val="en-US" w:eastAsia="zh-CN"/>
        </w:rPr>
        <w:t>背景</w:t>
      </w:r>
    </w:p>
    <w:p>
      <w:pPr>
        <w:pStyle w:val="42"/>
        <w:ind w:firstLine="560"/>
      </w:pPr>
      <w:bookmarkStart w:id="7" w:name="_Toc22659"/>
      <w:r>
        <w:t>为贯彻落实《中共中央 国务院关于打赢脱贫攻坚战的决定》精神，优化财政涉农资金供给机制，进一步提高资金使用效益，保障贫困县集中资源打赢脱贫攻坚战，</w:t>
      </w:r>
      <w:r>
        <w:rPr>
          <w:rFonts w:hint="eastAsia"/>
        </w:rPr>
        <w:t>2016年4月，</w:t>
      </w:r>
      <w:r>
        <w:t>国务院</w:t>
      </w:r>
      <w:r>
        <w:rPr>
          <w:rFonts w:hint="eastAsia"/>
        </w:rPr>
        <w:t>发布了《关于支持贫困县开展统筹整合使用财政涉农资金试点的意见》（国办发〔2016〕22号），决定支持贫困县</w:t>
      </w:r>
      <w:r>
        <w:t>开展统筹整合使用财政涉农资金</w:t>
      </w:r>
      <w:r>
        <w:rPr>
          <w:rFonts w:hint="eastAsia"/>
        </w:rPr>
        <w:t>试点工作。同年7月，为贯彻落实《试点意见》，在结合本实际，经省人民政府同意后，山西省人民政府办公厅发布了《山西省人民政府办公厅关于统筹整合使用财政资金实施精准扶贫的意见》（晋政办发〔2016〕101号），</w:t>
      </w:r>
      <w:r>
        <w:t>积极推动统筹整合使用财政资金试点工作</w:t>
      </w:r>
      <w:r>
        <w:rPr>
          <w:rFonts w:hint="eastAsia"/>
        </w:rPr>
        <w:t>在全省58个贫困县进行</w:t>
      </w:r>
      <w:r>
        <w:t>实施。</w:t>
      </w:r>
    </w:p>
    <w:p>
      <w:pPr>
        <w:pStyle w:val="42"/>
        <w:ind w:firstLine="560"/>
      </w:pPr>
      <w:r>
        <w:t>2018年8月9日</w:t>
      </w:r>
      <w:r>
        <w:rPr>
          <w:rFonts w:hint="eastAsia"/>
        </w:rPr>
        <w:t>，</w:t>
      </w:r>
      <w:r>
        <w:t>为深入贯彻落实《国务院关于探索建立涉农资金统筹整合长效机制的意见》</w:t>
      </w:r>
      <w:r>
        <w:rPr>
          <w:rFonts w:hint="eastAsia"/>
          <w:lang w:eastAsia="zh-CN"/>
        </w:rPr>
        <w:t>（</w:t>
      </w:r>
      <w:r>
        <w:t>国发〔2017〕54号</w:t>
      </w:r>
      <w:r>
        <w:rPr>
          <w:rFonts w:hint="eastAsia"/>
          <w:lang w:eastAsia="zh-CN"/>
        </w:rPr>
        <w:t>）</w:t>
      </w:r>
      <w:r>
        <w:rPr>
          <w:rFonts w:hint="eastAsia"/>
        </w:rPr>
        <w:t>文件</w:t>
      </w:r>
      <w:r>
        <w:t>要求</w:t>
      </w:r>
      <w:r>
        <w:rPr>
          <w:rFonts w:hint="eastAsia"/>
          <w:lang w:eastAsia="zh-CN"/>
        </w:rPr>
        <w:t>，</w:t>
      </w:r>
      <w:r>
        <w:t>创新体制机制</w:t>
      </w:r>
      <w:r>
        <w:rPr>
          <w:rFonts w:hint="eastAsia"/>
          <w:lang w:eastAsia="zh-CN"/>
        </w:rPr>
        <w:t>，</w:t>
      </w:r>
      <w:r>
        <w:t>加强涉农资金管理</w:t>
      </w:r>
      <w:r>
        <w:rPr>
          <w:rFonts w:hint="eastAsia"/>
          <w:lang w:eastAsia="zh-CN"/>
        </w:rPr>
        <w:t>，</w:t>
      </w:r>
      <w:r>
        <w:t>提高资金使用效益</w:t>
      </w:r>
      <w:r>
        <w:rPr>
          <w:rFonts w:hint="eastAsia"/>
          <w:lang w:eastAsia="zh-CN"/>
        </w:rPr>
        <w:t>，</w:t>
      </w:r>
      <w:r>
        <w:t>结合</w:t>
      </w:r>
      <w:r>
        <w:rPr>
          <w:rFonts w:hint="eastAsia"/>
        </w:rPr>
        <w:t>本</w:t>
      </w:r>
      <w:r>
        <w:t>省实际</w:t>
      </w:r>
      <w:r>
        <w:rPr>
          <w:rFonts w:hint="eastAsia"/>
          <w:lang w:eastAsia="zh-CN"/>
        </w:rPr>
        <w:t>，</w:t>
      </w:r>
      <w:r>
        <w:rPr>
          <w:rFonts w:hint="eastAsia"/>
        </w:rPr>
        <w:t>山西省人民政府办公厅发布了</w:t>
      </w:r>
      <w:r>
        <w:t>《山西省人民政府关于推进涉农资金统筹整合的实施意见》晋政发〔2018〕31号</w:t>
      </w:r>
      <w:r>
        <w:rPr>
          <w:rFonts w:hint="eastAsia"/>
        </w:rPr>
        <w:t>，从进一步加大统筹整合力度，探索建立涉农资金统筹整合长效机制等</w:t>
      </w:r>
      <w:r>
        <w:rPr>
          <w:rFonts w:hint="eastAsia"/>
          <w:lang w:eastAsia="zh-CN"/>
        </w:rPr>
        <w:t>方面做了</w:t>
      </w:r>
      <w:r>
        <w:rPr>
          <w:rFonts w:hint="eastAsia"/>
        </w:rPr>
        <w:t>全面部署。《实施意见》分总体要求、具体措施、组织保障三大部分，重点对目标任务、整合体系、整合方式、管理体制、组织领导和责任主体等方面作了具体明确</w:t>
      </w:r>
      <w:r>
        <w:t>。</w:t>
      </w:r>
    </w:p>
    <w:p>
      <w:pPr>
        <w:pStyle w:val="42"/>
        <w:ind w:firstLine="560"/>
      </w:pPr>
      <w:r>
        <w:rPr>
          <w:rFonts w:hint="eastAsia"/>
        </w:rPr>
        <w:t>2020年3月，为深入贯彻落实山西省人民政府《关于推进涉农资金统筹整合的实施意见》（晋政发〔2018〕31号）</w:t>
      </w:r>
      <w:r>
        <w:rPr>
          <w:rFonts w:hint="eastAsia"/>
          <w:lang w:eastAsia="zh-CN"/>
        </w:rPr>
        <w:t>，</w:t>
      </w:r>
      <w:r>
        <w:rPr>
          <w:rFonts w:hint="eastAsia"/>
        </w:rPr>
        <w:t>山西省脱贫攻坚领导小组《关于进一步做好贫困县统筹整合使用财政资金实施精准扶贫工作的通知》（晋脱贫攻坚组〔2019〕9号）及忻州市人民政府《关于印发忻州市推进涉农资金统筹整合实施方案的通知》（忻政办发〔2018〕152号），创新体制机制，切实发挥涉农资金统筹整合作用，打赢全县脱贫攻坚战，结合本县实际，宁武县脱贫攻坚总指挥部制定了《宁武县2020年统筹整合使用财政资金开展脱贫攻坚实施方案》（宁脱贫攻坚部〔2020〕5号）。</w:t>
      </w:r>
    </w:p>
    <w:p>
      <w:pPr>
        <w:pStyle w:val="42"/>
        <w:ind w:firstLine="560"/>
      </w:pPr>
      <w:r>
        <w:rPr>
          <w:rFonts w:hint="eastAsia"/>
        </w:rPr>
        <w:t>本次评价的项目为宁武县扶贫开发办公室使用宁武县2020年统筹整合财政资金，实施的脱贫攻坚项目，主要包括：建档立卡贫困户产业帮扶项目、精准移民安置小区刘家园村雨水管网及街道治理项目、贫困户贷款贴息项目、农业实用技术培训项目、三自一带和双扶工程奖补项目、农村第一书记和驻村工作队产业帮扶项目、创业致富带头人培训、各乡镇食用菌菌棒补贴项目等8个项目。</w:t>
      </w:r>
    </w:p>
    <w:bookmarkEnd w:id="7"/>
    <w:p>
      <w:pPr>
        <w:spacing w:line="360" w:lineRule="auto"/>
        <w:ind w:firstLine="562"/>
        <w:rPr>
          <w:rFonts w:hint="eastAsia" w:ascii="楷体_GB2312" w:hAnsi="楷体_GB2312" w:eastAsia="楷体_GB2312" w:cs="楷体_GB2312"/>
          <w:b w:val="0"/>
          <w:bCs w:val="0"/>
          <w:sz w:val="28"/>
          <w:szCs w:val="32"/>
          <w:lang w:val="en-US" w:eastAsia="zh-CN"/>
        </w:rPr>
      </w:pPr>
      <w:r>
        <w:rPr>
          <w:rFonts w:hint="eastAsia" w:ascii="楷体_GB2312" w:hAnsi="楷体_GB2312" w:eastAsia="楷体_GB2312" w:cs="楷体_GB2312"/>
          <w:b w:val="0"/>
          <w:bCs w:val="0"/>
          <w:sz w:val="28"/>
          <w:szCs w:val="32"/>
          <w:lang w:eastAsia="zh-CN"/>
        </w:rPr>
        <w:t>（</w:t>
      </w:r>
      <w:r>
        <w:rPr>
          <w:rFonts w:hint="eastAsia" w:ascii="楷体_GB2312" w:hAnsi="楷体_GB2312" w:eastAsia="楷体_GB2312" w:cs="楷体_GB2312"/>
          <w:b w:val="0"/>
          <w:bCs w:val="0"/>
          <w:sz w:val="28"/>
          <w:szCs w:val="32"/>
          <w:lang w:val="en-US" w:eastAsia="zh-CN"/>
        </w:rPr>
        <w:t>二</w:t>
      </w:r>
      <w:r>
        <w:rPr>
          <w:rFonts w:hint="eastAsia" w:ascii="楷体_GB2312" w:hAnsi="楷体_GB2312" w:eastAsia="楷体_GB2312" w:cs="楷体_GB2312"/>
          <w:b w:val="0"/>
          <w:bCs w:val="0"/>
          <w:sz w:val="28"/>
          <w:szCs w:val="32"/>
          <w:lang w:eastAsia="zh-CN"/>
        </w:rPr>
        <w:t>）</w:t>
      </w:r>
      <w:r>
        <w:rPr>
          <w:rFonts w:hint="eastAsia" w:ascii="楷体_GB2312" w:hAnsi="楷体_GB2312" w:eastAsia="楷体_GB2312" w:cs="楷体_GB2312"/>
          <w:b w:val="0"/>
          <w:bCs w:val="0"/>
          <w:sz w:val="28"/>
          <w:szCs w:val="32"/>
          <w:lang w:val="en-US" w:eastAsia="zh-CN"/>
        </w:rPr>
        <w:t>主要</w:t>
      </w:r>
      <w:r>
        <w:rPr>
          <w:rFonts w:hint="eastAsia" w:ascii="楷体_GB2312" w:hAnsi="楷体_GB2312" w:eastAsia="楷体_GB2312" w:cs="楷体_GB2312"/>
          <w:b w:val="0"/>
          <w:bCs w:val="0"/>
          <w:sz w:val="28"/>
          <w:szCs w:val="32"/>
        </w:rPr>
        <w:t>内容</w:t>
      </w:r>
      <w:r>
        <w:rPr>
          <w:rFonts w:hint="eastAsia" w:ascii="楷体_GB2312" w:hAnsi="楷体_GB2312" w:eastAsia="楷体_GB2312" w:cs="楷体_GB2312"/>
          <w:b w:val="0"/>
          <w:bCs w:val="0"/>
          <w:sz w:val="28"/>
          <w:szCs w:val="32"/>
          <w:lang w:val="en-US" w:eastAsia="zh-CN"/>
        </w:rPr>
        <w:t>及实施情况</w:t>
      </w:r>
    </w:p>
    <w:p>
      <w:pPr>
        <w:pStyle w:val="2"/>
        <w:spacing w:before="0"/>
        <w:ind w:firstLine="560" w:firstLineChars="200"/>
        <w:rPr>
          <w:rFonts w:hint="eastAsia" w:ascii="仿宋_GB2312" w:hAnsi="仿宋_GB2312" w:eastAsia="仿宋_GB2312"/>
          <w:szCs w:val="32"/>
        </w:rPr>
      </w:pPr>
      <w:r>
        <w:rPr>
          <w:rFonts w:hint="eastAsia" w:ascii="仿宋_GB2312" w:hAnsi="仿宋_GB2312" w:eastAsia="仿宋_GB2312"/>
          <w:szCs w:val="32"/>
        </w:rPr>
        <w:t>宁武县扶贫开发办公室使用2020年统筹整合财政资金，实施的脱贫攻坚项目共有8个，具体各项目的实施时间、内容与范围见下表</w:t>
      </w:r>
      <w:r>
        <w:rPr>
          <w:rFonts w:hint="eastAsia" w:ascii="仿宋_GB2312" w:hAnsi="仿宋_GB2312" w:eastAsia="仿宋_GB2312"/>
          <w:szCs w:val="32"/>
          <w:lang w:val="en-US" w:eastAsia="zh-CN"/>
        </w:rPr>
        <w:t>1-1</w:t>
      </w:r>
      <w:r>
        <w:rPr>
          <w:rFonts w:hint="eastAsia" w:ascii="仿宋_GB2312" w:hAnsi="仿宋_GB2312" w:eastAsia="仿宋_GB2312"/>
          <w:szCs w:val="32"/>
        </w:rPr>
        <w:t>。</w:t>
      </w:r>
    </w:p>
    <w:p>
      <w:pPr>
        <w:pStyle w:val="2"/>
        <w:spacing w:before="0"/>
        <w:jc w:val="center"/>
        <w:rPr>
          <w:rFonts w:ascii="宋体" w:hAnsi="宋体"/>
        </w:rPr>
      </w:pPr>
      <w:r>
        <w:rPr>
          <w:rFonts w:hint="eastAsia" w:ascii="宋体" w:hAnsi="宋体"/>
        </w:rPr>
        <w:t>表1-</w:t>
      </w:r>
      <w:r>
        <w:rPr>
          <w:rFonts w:ascii="宋体" w:hAnsi="宋体"/>
        </w:rPr>
        <w:t xml:space="preserve">1 </w:t>
      </w:r>
      <w:r>
        <w:rPr>
          <w:rFonts w:hint="eastAsia" w:ascii="宋体" w:hAnsi="宋体"/>
        </w:rPr>
        <w:t>项目实施情况表</w:t>
      </w:r>
    </w:p>
    <w:tbl>
      <w:tblPr>
        <w:tblStyle w:val="15"/>
        <w:tblW w:w="4872" w:type="pct"/>
        <w:tblInd w:w="109"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78"/>
        <w:gridCol w:w="2656"/>
        <w:gridCol w:w="1254"/>
        <w:gridCol w:w="4250"/>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36" w:hRule="atLeast"/>
          <w:tblHeader/>
        </w:trPr>
        <w:tc>
          <w:tcPr>
            <w:tcW w:w="435" w:type="pct"/>
            <w:shd w:val="clear" w:color="auto" w:fill="BEBEBE"/>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1485" w:type="pct"/>
            <w:shd w:val="clear" w:color="auto" w:fill="BEBEBE"/>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项目名称</w:t>
            </w:r>
          </w:p>
        </w:tc>
        <w:tc>
          <w:tcPr>
            <w:tcW w:w="702" w:type="pct"/>
            <w:shd w:val="clear" w:color="auto" w:fill="BEBEBE"/>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实施地点</w:t>
            </w:r>
          </w:p>
        </w:tc>
        <w:tc>
          <w:tcPr>
            <w:tcW w:w="2376" w:type="pct"/>
            <w:shd w:val="clear" w:color="auto" w:fill="BEBEBE"/>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实施内容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485" w:type="pct"/>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sz w:val="24"/>
              </w:rPr>
              <w:t>食用菌菌棒补贴项目</w:t>
            </w:r>
          </w:p>
        </w:tc>
        <w:tc>
          <w:tcPr>
            <w:tcW w:w="702" w:type="pct"/>
            <w:shd w:val="clear" w:color="auto" w:fill="auto"/>
            <w:vAlign w:val="center"/>
          </w:tcPr>
          <w:p>
            <w:pPr>
              <w:widowControl/>
              <w:jc w:val="center"/>
              <w:rPr>
                <w:rFonts w:ascii="宋体" w:hAnsi="宋体" w:eastAsia="宋体" w:cs="宋体"/>
                <w:sz w:val="24"/>
              </w:rPr>
            </w:pPr>
            <w:r>
              <w:rPr>
                <w:rFonts w:hint="eastAsia" w:ascii="宋体" w:hAnsi="宋体" w:eastAsia="宋体" w:cs="宋体"/>
                <w:sz w:val="24"/>
              </w:rPr>
              <w:t>东寨镇</w:t>
            </w:r>
          </w:p>
          <w:p>
            <w:pPr>
              <w:widowControl/>
              <w:jc w:val="center"/>
              <w:rPr>
                <w:rFonts w:ascii="宋体" w:hAnsi="宋体" w:eastAsia="宋体" w:cs="宋体"/>
                <w:color w:val="000000"/>
                <w:kern w:val="0"/>
                <w:sz w:val="24"/>
              </w:rPr>
            </w:pPr>
            <w:r>
              <w:rPr>
                <w:rFonts w:hint="eastAsia" w:ascii="宋体" w:hAnsi="宋体" w:eastAsia="宋体" w:cs="宋体"/>
                <w:sz w:val="24"/>
              </w:rPr>
              <w:t>二马营村</w:t>
            </w:r>
          </w:p>
        </w:tc>
        <w:tc>
          <w:tcPr>
            <w:tcW w:w="2376" w:type="pct"/>
            <w:shd w:val="clear" w:color="auto" w:fill="auto"/>
            <w:vAlign w:val="center"/>
          </w:tcPr>
          <w:p>
            <w:pPr>
              <w:jc w:val="left"/>
              <w:rPr>
                <w:rFonts w:ascii="宋体" w:hAnsi="宋体" w:eastAsia="宋体" w:cs="宋体"/>
                <w:color w:val="000000"/>
                <w:kern w:val="0"/>
                <w:sz w:val="24"/>
              </w:rPr>
            </w:pPr>
            <w:r>
              <w:rPr>
                <w:rFonts w:hint="eastAsia" w:ascii="宋体" w:hAnsi="宋体" w:eastAsia="宋体" w:cs="宋体"/>
                <w:color w:val="000000"/>
                <w:kern w:val="0"/>
                <w:sz w:val="24"/>
              </w:rPr>
              <w:t>对食用菌种植合作社进行补贴。</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精准移民安置小区刘家园村雨水管网及街道治理项目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凤凰镇</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刘家园村</w:t>
            </w:r>
          </w:p>
        </w:tc>
        <w:tc>
          <w:tcPr>
            <w:tcW w:w="2376" w:type="pct"/>
            <w:shd w:val="clear" w:color="auto" w:fill="auto"/>
            <w:vAlign w:val="center"/>
          </w:tcPr>
          <w:p>
            <w:pPr>
              <w:rPr>
                <w:rFonts w:ascii="宋体" w:hAnsi="宋体" w:eastAsia="宋体" w:cs="宋体"/>
                <w:color w:val="000000"/>
                <w:kern w:val="0"/>
                <w:sz w:val="24"/>
              </w:rPr>
            </w:pPr>
            <w:r>
              <w:rPr>
                <w:rFonts w:hint="eastAsia" w:ascii="宋体" w:hAnsi="宋体" w:eastAsia="宋体" w:cs="宋体"/>
                <w:color w:val="000000"/>
                <w:kern w:val="0"/>
                <w:sz w:val="24"/>
              </w:rPr>
              <w:t>修建雨水管网341米，街道绿化1500平方米。</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建档立卡贫困户产业帮扶项目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各乡镇</w:t>
            </w:r>
          </w:p>
        </w:tc>
        <w:tc>
          <w:tcPr>
            <w:tcW w:w="2376" w:type="pct"/>
            <w:shd w:val="clear" w:color="auto" w:fill="auto"/>
            <w:vAlign w:val="center"/>
          </w:tcPr>
          <w:p>
            <w:pPr>
              <w:rPr>
                <w:rFonts w:ascii="宋体" w:hAnsi="宋体" w:eastAsia="宋体" w:cs="宋体"/>
                <w:color w:val="000000"/>
                <w:kern w:val="0"/>
                <w:sz w:val="24"/>
              </w:rPr>
            </w:pPr>
            <w:r>
              <w:rPr>
                <w:rFonts w:hint="eastAsia" w:ascii="宋体" w:hAnsi="宋体" w:eastAsia="宋体" w:cs="宋体"/>
                <w:color w:val="000000"/>
                <w:kern w:val="0"/>
                <w:sz w:val="24"/>
              </w:rPr>
              <w:t>对通过入股合作社、发展旅游业、胡麻油加工、牛羊猪养殖等产业的贫困户给予补贴。</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农业实用技术培训项目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各乡镇</w:t>
            </w:r>
          </w:p>
        </w:tc>
        <w:tc>
          <w:tcPr>
            <w:tcW w:w="2376" w:type="pct"/>
            <w:shd w:val="clear" w:color="auto" w:fill="auto"/>
            <w:vAlign w:val="center"/>
          </w:tcPr>
          <w:p>
            <w:pPr>
              <w:rPr>
                <w:rFonts w:ascii="宋体" w:hAnsi="宋体" w:eastAsia="宋体" w:cs="宋体"/>
                <w:color w:val="000000"/>
                <w:kern w:val="0"/>
                <w:sz w:val="24"/>
              </w:rPr>
            </w:pPr>
            <w:r>
              <w:rPr>
                <w:rFonts w:hint="eastAsia" w:ascii="宋体" w:hAnsi="宋体" w:eastAsia="宋体" w:cs="宋体"/>
                <w:color w:val="000000"/>
                <w:kern w:val="0"/>
                <w:sz w:val="24"/>
              </w:rPr>
              <w:t>对230名贫困人口进行培训。</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创业致富带头人培训项目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各乡镇</w:t>
            </w:r>
          </w:p>
        </w:tc>
        <w:tc>
          <w:tcPr>
            <w:tcW w:w="2376" w:type="pct"/>
            <w:shd w:val="clear" w:color="auto" w:fill="auto"/>
            <w:vAlign w:val="center"/>
          </w:tcPr>
          <w:p>
            <w:pPr>
              <w:rPr>
                <w:rFonts w:ascii="宋体" w:hAnsi="宋体" w:eastAsia="宋体" w:cs="宋体"/>
                <w:color w:val="000000"/>
                <w:kern w:val="0"/>
                <w:sz w:val="24"/>
              </w:rPr>
            </w:pPr>
            <w:r>
              <w:rPr>
                <w:rFonts w:hint="eastAsia" w:ascii="宋体" w:hAnsi="宋体" w:eastAsia="宋体" w:cs="宋体"/>
                <w:color w:val="000000"/>
                <w:kern w:val="0"/>
                <w:sz w:val="24"/>
              </w:rPr>
              <w:t>对562名贫困村致富带领人进行培训。</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6</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农村第一书记和驻村工作队产业帮扶项目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各乡镇</w:t>
            </w:r>
          </w:p>
        </w:tc>
        <w:tc>
          <w:tcPr>
            <w:tcW w:w="2376" w:type="pct"/>
            <w:shd w:val="clear" w:color="auto" w:fill="auto"/>
            <w:vAlign w:val="center"/>
          </w:tcPr>
          <w:p>
            <w:pPr>
              <w:rPr>
                <w:rFonts w:ascii="宋体" w:hAnsi="宋体" w:eastAsia="宋体" w:cs="宋体"/>
                <w:color w:val="000000"/>
                <w:kern w:val="0"/>
                <w:sz w:val="24"/>
              </w:rPr>
            </w:pPr>
            <w:r>
              <w:rPr>
                <w:rFonts w:hint="eastAsia" w:ascii="宋体" w:hAnsi="宋体" w:eastAsia="宋体" w:cs="宋体"/>
                <w:color w:val="000000"/>
                <w:kern w:val="0"/>
                <w:sz w:val="24"/>
              </w:rPr>
              <w:t>农村第一书记和驻村帮扶工作队对所包村实施的养殖、种植、农产品加工、旅游、农家乐等产业项目予以扶持。</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7</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三自一带和双扶工程奖补项目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各乡镇</w:t>
            </w:r>
          </w:p>
        </w:tc>
        <w:tc>
          <w:tcPr>
            <w:tcW w:w="2376" w:type="pct"/>
            <w:shd w:val="clear" w:color="auto" w:fill="auto"/>
            <w:vAlign w:val="center"/>
          </w:tcPr>
          <w:p>
            <w:pPr>
              <w:rPr>
                <w:rFonts w:ascii="宋体" w:hAnsi="宋体" w:eastAsia="宋体" w:cs="宋体"/>
                <w:color w:val="000000"/>
                <w:kern w:val="0"/>
                <w:sz w:val="24"/>
              </w:rPr>
            </w:pPr>
            <w:r>
              <w:rPr>
                <w:rFonts w:hint="eastAsia" w:ascii="宋体" w:hAnsi="宋体" w:eastAsia="宋体" w:cs="宋体"/>
                <w:color w:val="000000"/>
                <w:kern w:val="0"/>
                <w:sz w:val="24"/>
              </w:rPr>
              <w:t>对自主创业、自主就业、自主脱贫的建档立卡贫困户和带动贫困户增收的农业企业、合作社给予产业发展资金支持。</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94" w:hRule="atLeast"/>
        </w:trPr>
        <w:tc>
          <w:tcPr>
            <w:tcW w:w="435"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8</w:t>
            </w:r>
          </w:p>
        </w:tc>
        <w:tc>
          <w:tcPr>
            <w:tcW w:w="1485" w:type="pct"/>
            <w:shd w:val="clear" w:color="auto" w:fill="auto"/>
            <w:vAlign w:val="center"/>
          </w:tcPr>
          <w:p>
            <w:pPr>
              <w:widowControl/>
              <w:jc w:val="left"/>
              <w:rPr>
                <w:rFonts w:ascii="宋体" w:hAnsi="宋体" w:eastAsia="宋体" w:cs="宋体"/>
                <w:sz w:val="24"/>
              </w:rPr>
            </w:pPr>
            <w:r>
              <w:rPr>
                <w:rFonts w:hint="eastAsia" w:ascii="宋体" w:hAnsi="宋体" w:eastAsia="宋体" w:cs="宋体"/>
                <w:sz w:val="24"/>
              </w:rPr>
              <w:t>贫困户贷款贴息项目</w:t>
            </w:r>
          </w:p>
        </w:tc>
        <w:tc>
          <w:tcPr>
            <w:tcW w:w="702" w:type="pct"/>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各乡镇</w:t>
            </w:r>
          </w:p>
        </w:tc>
        <w:tc>
          <w:tcPr>
            <w:tcW w:w="2376" w:type="pct"/>
            <w:shd w:val="clear" w:color="auto" w:fill="auto"/>
            <w:vAlign w:val="center"/>
          </w:tcPr>
          <w:p>
            <w:pPr>
              <w:jc w:val="left"/>
              <w:rPr>
                <w:rFonts w:ascii="宋体" w:hAnsi="宋体" w:eastAsia="宋体" w:cs="宋体"/>
                <w:color w:val="000000"/>
                <w:kern w:val="0"/>
                <w:sz w:val="24"/>
              </w:rPr>
            </w:pPr>
            <w:r>
              <w:rPr>
                <w:rFonts w:hint="eastAsia" w:ascii="宋体" w:hAnsi="宋体" w:eastAsia="宋体" w:cs="宋体"/>
                <w:color w:val="000000"/>
                <w:kern w:val="0"/>
                <w:sz w:val="24"/>
              </w:rPr>
              <w:t>为贫困户贷款提供财政贴息。</w:t>
            </w:r>
          </w:p>
        </w:tc>
      </w:tr>
    </w:tbl>
    <w:p>
      <w:pPr>
        <w:pStyle w:val="5"/>
        <w:keepNext/>
        <w:keepLines w:val="0"/>
        <w:pageBreakBefore w:val="0"/>
        <w:widowControl w:val="0"/>
        <w:kinsoku/>
        <w:wordWrap/>
        <w:overflowPunct/>
        <w:topLinePunct w:val="0"/>
        <w:autoSpaceDE/>
        <w:autoSpaceDN/>
        <w:bidi w:val="0"/>
        <w:adjustRightInd/>
        <w:snapToGrid/>
        <w:spacing w:before="157" w:beforeLines="50"/>
        <w:ind w:firstLine="560"/>
        <w:textAlignment w:val="auto"/>
        <w:outlineLvl w:val="1"/>
        <w:rPr>
          <w:rFonts w:hint="default" w:ascii="楷体_GB2312" w:hAnsi="楷体_GB2312" w:eastAsia="楷体_GB2312" w:cs="楷体_GB2312"/>
          <w:b w:val="0"/>
          <w:bCs w:val="0"/>
          <w:lang w:val="en-US"/>
        </w:rPr>
      </w:pPr>
      <w:bookmarkStart w:id="8" w:name="_Toc6416"/>
      <w:bookmarkStart w:id="9" w:name="_Toc13310"/>
      <w:bookmarkStart w:id="10" w:name="_Toc27941"/>
      <w:bookmarkStart w:id="11" w:name="_Toc23558"/>
      <w:bookmarkStart w:id="12" w:name="_Toc26791"/>
      <w:bookmarkStart w:id="13" w:name="_Toc7914"/>
      <w:r>
        <w:rPr>
          <w:rFonts w:hint="eastAsia" w:ascii="楷体_GB2312" w:hAnsi="楷体_GB2312" w:eastAsia="楷体_GB2312" w:cs="楷体_GB2312"/>
          <w:b w:val="0"/>
          <w:bCs w:val="0"/>
          <w:lang w:val="en-US" w:eastAsia="zh-CN"/>
        </w:rPr>
        <w:t>（二）</w:t>
      </w:r>
      <w:bookmarkEnd w:id="8"/>
      <w:bookmarkEnd w:id="9"/>
      <w:r>
        <w:rPr>
          <w:rFonts w:hint="eastAsia" w:ascii="楷体_GB2312" w:hAnsi="楷体_GB2312" w:cs="楷体_GB2312"/>
          <w:b w:val="0"/>
          <w:bCs w:val="0"/>
          <w:lang w:val="en-US" w:eastAsia="zh-CN"/>
        </w:rPr>
        <w:t>项目资金投入及使用情况</w:t>
      </w:r>
      <w:bookmarkEnd w:id="10"/>
    </w:p>
    <w:bookmarkEnd w:id="11"/>
    <w:p>
      <w:pPr>
        <w:pStyle w:val="42"/>
        <w:ind w:firstLine="560"/>
        <w:rPr>
          <w:rFonts w:hint="default"/>
          <w:b/>
          <w:bCs/>
          <w:lang w:val="en-US" w:eastAsia="zh-CN"/>
        </w:rPr>
      </w:pPr>
      <w:r>
        <w:rPr>
          <w:rFonts w:hint="eastAsia"/>
          <w:b/>
          <w:bCs/>
          <w:lang w:val="en-US" w:eastAsia="zh-CN"/>
        </w:rPr>
        <w:t>1.资金投入情况</w:t>
      </w:r>
    </w:p>
    <w:p>
      <w:pPr>
        <w:pStyle w:val="42"/>
        <w:ind w:firstLine="560"/>
      </w:pPr>
      <w:r>
        <w:rPr>
          <w:rFonts w:hint="eastAsia"/>
        </w:rPr>
        <w:t>根据《宁武县2020年统筹整合使用财政资金开展脱贫攻坚实施方案》（宁脱贫攻坚部〔2020〕5号），经宁武县第十六届人民代表大会第五次会议批复，财政统筹整合资金中由宁武县扶贫开发办公室主管的8个项目预算资金共计</w:t>
      </w:r>
      <w:r>
        <w:rPr>
          <w:rFonts w:hint="eastAsia" w:cs="仿宋_GB2312"/>
        </w:rPr>
        <w:t>2330.70</w:t>
      </w:r>
      <w:r>
        <w:rPr>
          <w:rFonts w:hint="eastAsia"/>
        </w:rPr>
        <w:t>万元。各项目具体预算资金安排情况见下表1-2。</w:t>
      </w:r>
    </w:p>
    <w:p>
      <w:pPr>
        <w:spacing w:line="360" w:lineRule="auto"/>
        <w:ind w:firstLine="562" w:firstLineChars="200"/>
        <w:rPr>
          <w:rFonts w:ascii="仿宋_GB2312" w:hAnsi="仿宋_GB2312" w:eastAsia="仿宋_GB2312"/>
          <w:b/>
          <w:bCs/>
          <w:sz w:val="28"/>
          <w:szCs w:val="32"/>
        </w:rPr>
      </w:pPr>
      <w:bookmarkStart w:id="14" w:name="_Toc9124"/>
      <w:bookmarkStart w:id="15" w:name="_Toc513731590"/>
      <w:bookmarkStart w:id="16" w:name="_Toc513218635"/>
      <w:r>
        <w:rPr>
          <w:rFonts w:hint="eastAsia" w:ascii="仿宋_GB2312" w:hAnsi="仿宋_GB2312" w:eastAsia="仿宋_GB2312"/>
          <w:b/>
          <w:bCs/>
          <w:sz w:val="28"/>
          <w:szCs w:val="32"/>
          <w:lang w:val="en-US" w:eastAsia="zh-CN"/>
        </w:rPr>
        <w:t>2.</w:t>
      </w:r>
      <w:r>
        <w:rPr>
          <w:rFonts w:hint="eastAsia" w:ascii="仿宋_GB2312" w:hAnsi="仿宋_GB2312" w:eastAsia="仿宋_GB2312"/>
          <w:b/>
          <w:bCs/>
          <w:sz w:val="28"/>
          <w:szCs w:val="32"/>
        </w:rPr>
        <w:t>资金使用情况</w:t>
      </w:r>
      <w:bookmarkEnd w:id="14"/>
      <w:bookmarkEnd w:id="15"/>
      <w:bookmarkEnd w:id="16"/>
    </w:p>
    <w:p>
      <w:pPr>
        <w:pStyle w:val="42"/>
        <w:ind w:firstLine="560"/>
      </w:pPr>
      <w:r>
        <w:rPr>
          <w:rFonts w:hint="eastAsia"/>
        </w:rPr>
        <w:t>2020年宁武县财政局共向宁武县扶贫开发办公室下达统筹整合财政资金</w:t>
      </w:r>
      <w:r>
        <w:rPr>
          <w:rFonts w:hint="eastAsia" w:cs="仿宋_GB2312"/>
        </w:rPr>
        <w:t>2330.70</w:t>
      </w:r>
      <w:r>
        <w:rPr>
          <w:rFonts w:hint="eastAsia"/>
        </w:rPr>
        <w:t>万元，</w:t>
      </w:r>
      <w:r>
        <w:rPr>
          <w:rFonts w:hint="eastAsia"/>
          <w:lang w:eastAsia="zh-CN"/>
        </w:rPr>
        <w:t>截至</w:t>
      </w:r>
      <w:r>
        <w:rPr>
          <w:rFonts w:hint="eastAsia"/>
        </w:rPr>
        <w:t>评价基准日（2020年12月31日）各项目共计实际支出</w:t>
      </w:r>
      <w:r>
        <w:rPr>
          <w:rFonts w:hint="eastAsia" w:cs="仿宋_GB2312"/>
        </w:rPr>
        <w:t>2114.5</w:t>
      </w:r>
      <w:r>
        <w:rPr>
          <w:rFonts w:hint="eastAsia"/>
        </w:rPr>
        <w:t>万元。具体各项目资金使用情况详见表1-2。</w:t>
      </w:r>
    </w:p>
    <w:p>
      <w:pPr>
        <w:keepNext w:val="0"/>
        <w:keepLines w:val="0"/>
        <w:pageBreakBefore w:val="0"/>
        <w:widowControl w:val="0"/>
        <w:kinsoku/>
        <w:wordWrap/>
        <w:overflowPunct/>
        <w:topLinePunct w:val="0"/>
        <w:autoSpaceDE/>
        <w:autoSpaceDN/>
        <w:bidi w:val="0"/>
        <w:adjustRightInd/>
        <w:snapToGrid/>
        <w:spacing w:before="161" w:beforeLines="50" w:line="360" w:lineRule="auto"/>
        <w:jc w:val="center"/>
        <w:textAlignment w:val="auto"/>
        <w:rPr>
          <w:rFonts w:ascii="宋体" w:hAnsi="宋体" w:eastAsia="宋体" w:cs="宋体"/>
          <w:sz w:val="28"/>
          <w:szCs w:val="32"/>
        </w:rPr>
      </w:pPr>
      <w:r>
        <w:rPr>
          <w:rFonts w:hint="eastAsia" w:ascii="宋体" w:hAnsi="宋体" w:eastAsia="宋体" w:cs="宋体"/>
          <w:sz w:val="28"/>
          <w:szCs w:val="32"/>
        </w:rPr>
        <w:t xml:space="preserve">表1-2 </w:t>
      </w:r>
      <w:r>
        <w:rPr>
          <w:rFonts w:hint="eastAsia"/>
          <w:sz w:val="28"/>
          <w:szCs w:val="32"/>
        </w:rPr>
        <w:t>统筹整合</w:t>
      </w:r>
      <w:r>
        <w:rPr>
          <w:rFonts w:hint="eastAsia" w:ascii="宋体" w:hAnsi="宋体" w:eastAsia="宋体" w:cs="宋体"/>
          <w:sz w:val="28"/>
          <w:szCs w:val="32"/>
        </w:rPr>
        <w:t>财政资金使用统计表</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sz w:val="24"/>
        </w:rPr>
      </w:pPr>
      <w:r>
        <w:rPr>
          <w:rFonts w:hint="eastAsia" w:ascii="宋体" w:hAnsi="宋体" w:eastAsia="宋体"/>
          <w:sz w:val="24"/>
          <w:lang w:bidi="ar"/>
        </w:rPr>
        <w:t>资金单位：万元</w:t>
      </w:r>
    </w:p>
    <w:tbl>
      <w:tblPr>
        <w:tblStyle w:val="15"/>
        <w:tblpPr w:leftFromText="180" w:rightFromText="180" w:vertAnchor="text" w:tblpXSpec="center" w:tblpY="1"/>
        <w:tblOverlap w:val="never"/>
        <w:tblW w:w="8936"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794"/>
        <w:gridCol w:w="3884"/>
        <w:gridCol w:w="1598"/>
        <w:gridCol w:w="1596"/>
        <w:gridCol w:w="1064"/>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bottom w:val="dotted" w:color="000000" w:sz="4" w:space="0"/>
            </w:tcBorders>
            <w:shd w:val="clear" w:color="auto" w:fill="BEBEBE"/>
            <w:tcMar>
              <w:top w:w="12" w:type="dxa"/>
              <w:left w:w="12" w:type="dxa"/>
              <w:right w:w="12" w:type="dxa"/>
            </w:tcMar>
            <w:vAlign w:val="center"/>
          </w:tcPr>
          <w:p>
            <w:pPr>
              <w:pStyle w:val="8"/>
              <w:rPr>
                <w:rFonts w:ascii="宋体" w:hAnsi="宋体" w:cs="宋体"/>
                <w:b/>
                <w:bCs/>
                <w:szCs w:val="24"/>
              </w:rPr>
            </w:pPr>
            <w:r>
              <w:rPr>
                <w:rFonts w:hint="eastAsia" w:ascii="宋体" w:hAnsi="宋体" w:cs="宋体"/>
                <w:b/>
                <w:bCs/>
                <w:szCs w:val="24"/>
              </w:rPr>
              <w:t>序号</w:t>
            </w:r>
          </w:p>
        </w:tc>
        <w:tc>
          <w:tcPr>
            <w:tcW w:w="3884" w:type="dxa"/>
            <w:tcBorders>
              <w:bottom w:val="dotted" w:color="000000" w:sz="4" w:space="0"/>
            </w:tcBorders>
            <w:shd w:val="clear" w:color="auto" w:fill="BEBEBE"/>
            <w:tcMar>
              <w:top w:w="12" w:type="dxa"/>
              <w:left w:w="12" w:type="dxa"/>
              <w:right w:w="12" w:type="dxa"/>
            </w:tcMar>
            <w:vAlign w:val="center"/>
          </w:tcPr>
          <w:p>
            <w:pPr>
              <w:pStyle w:val="8"/>
              <w:rPr>
                <w:rFonts w:ascii="宋体" w:hAnsi="宋体" w:cs="宋体"/>
                <w:b/>
                <w:bCs/>
                <w:szCs w:val="24"/>
              </w:rPr>
            </w:pPr>
            <w:r>
              <w:rPr>
                <w:rFonts w:hint="eastAsia" w:ascii="宋体" w:hAnsi="宋体" w:cs="宋体"/>
                <w:b/>
                <w:bCs/>
                <w:szCs w:val="24"/>
              </w:rPr>
              <w:t>项目名称</w:t>
            </w:r>
          </w:p>
        </w:tc>
        <w:tc>
          <w:tcPr>
            <w:tcW w:w="1598" w:type="dxa"/>
            <w:tcBorders>
              <w:bottom w:val="dotted" w:color="000000" w:sz="4" w:space="0"/>
            </w:tcBorders>
            <w:shd w:val="clear" w:color="auto" w:fill="BEBEBE"/>
            <w:tcMar>
              <w:top w:w="12" w:type="dxa"/>
              <w:left w:w="12" w:type="dxa"/>
              <w:right w:w="12" w:type="dxa"/>
            </w:tcMar>
            <w:vAlign w:val="center"/>
          </w:tcPr>
          <w:p>
            <w:pPr>
              <w:pStyle w:val="8"/>
              <w:rPr>
                <w:rFonts w:ascii="宋体" w:hAnsi="宋体" w:cs="宋体"/>
                <w:b/>
                <w:bCs/>
                <w:szCs w:val="24"/>
              </w:rPr>
            </w:pPr>
            <w:r>
              <w:rPr>
                <w:rFonts w:hint="eastAsia" w:ascii="宋体" w:hAnsi="宋体" w:cs="宋体"/>
                <w:b/>
                <w:bCs/>
                <w:szCs w:val="24"/>
              </w:rPr>
              <w:t>预算数</w:t>
            </w:r>
          </w:p>
        </w:tc>
        <w:tc>
          <w:tcPr>
            <w:tcW w:w="1596" w:type="dxa"/>
            <w:tcBorders>
              <w:bottom w:val="dotted" w:color="000000" w:sz="4" w:space="0"/>
            </w:tcBorders>
            <w:shd w:val="clear" w:color="auto" w:fill="BEBEBE"/>
            <w:tcMar>
              <w:top w:w="12" w:type="dxa"/>
              <w:left w:w="12" w:type="dxa"/>
              <w:right w:w="12" w:type="dxa"/>
            </w:tcMar>
            <w:vAlign w:val="center"/>
          </w:tcPr>
          <w:p>
            <w:pPr>
              <w:pStyle w:val="8"/>
              <w:rPr>
                <w:rFonts w:ascii="宋体" w:hAnsi="宋体" w:cs="宋体"/>
                <w:b/>
                <w:bCs/>
                <w:szCs w:val="24"/>
              </w:rPr>
            </w:pPr>
            <w:r>
              <w:rPr>
                <w:rFonts w:hint="eastAsia" w:ascii="宋体" w:hAnsi="宋体" w:cs="宋体"/>
                <w:b/>
                <w:bCs/>
                <w:szCs w:val="24"/>
              </w:rPr>
              <w:t>支出数</w:t>
            </w:r>
          </w:p>
        </w:tc>
        <w:tc>
          <w:tcPr>
            <w:tcW w:w="1064" w:type="dxa"/>
            <w:tcBorders>
              <w:bottom w:val="dotted" w:color="000000" w:sz="4" w:space="0"/>
            </w:tcBorders>
            <w:shd w:val="clear" w:color="auto" w:fill="BEBEBE"/>
            <w:tcMar>
              <w:top w:w="12" w:type="dxa"/>
              <w:left w:w="12" w:type="dxa"/>
              <w:right w:w="12" w:type="dxa"/>
            </w:tcMar>
            <w:vAlign w:val="center"/>
          </w:tcPr>
          <w:p>
            <w:pPr>
              <w:pStyle w:val="8"/>
              <w:rPr>
                <w:rFonts w:ascii="宋体" w:hAnsi="宋体" w:cs="宋体"/>
                <w:b/>
                <w:bCs/>
                <w:szCs w:val="24"/>
              </w:rPr>
            </w:pPr>
            <w:r>
              <w:rPr>
                <w:rFonts w:hint="eastAsia" w:ascii="宋体" w:hAnsi="宋体" w:cs="宋体"/>
                <w:b/>
                <w:bCs/>
                <w:szCs w:val="24"/>
              </w:rPr>
              <w:t>结余数</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bookmarkStart w:id="17" w:name="OLE_LINK2" w:colFirst="3" w:colLast="4"/>
            <w:r>
              <w:rPr>
                <w:rFonts w:hint="eastAsia" w:ascii="宋体" w:hAnsi="宋体" w:cs="宋体"/>
                <w:szCs w:val="24"/>
              </w:rPr>
              <w:t>1</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各乡镇食用菌菌棒补贴</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20</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20</w:t>
            </w:r>
          </w:p>
        </w:tc>
        <w:tc>
          <w:tcPr>
            <w:tcW w:w="1064"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精准移民安置小区刘家园村雨水管网及街道治理项目</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57.29</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57.29</w:t>
            </w:r>
          </w:p>
        </w:tc>
        <w:tc>
          <w:tcPr>
            <w:tcW w:w="1064"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3</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color w:val="000000"/>
                <w:kern w:val="0"/>
                <w:sz w:val="24"/>
              </w:rPr>
            </w:pPr>
            <w:r>
              <w:rPr>
                <w:rFonts w:hint="eastAsia" w:ascii="宋体" w:hAnsi="宋体" w:eastAsia="宋体" w:cs="宋体"/>
                <w:sz w:val="24"/>
              </w:rPr>
              <w:t>建档立卡贫困户产业帮扶项目</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65.4</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65.4</w:t>
            </w:r>
          </w:p>
        </w:tc>
        <w:tc>
          <w:tcPr>
            <w:tcW w:w="1064" w:type="dxa"/>
            <w:tcBorders>
              <w:top w:val="dotted" w:color="000000" w:sz="4" w:space="0"/>
              <w:bottom w:val="dotted" w:color="000000" w:sz="4" w:space="0"/>
            </w:tcBorders>
            <w:tcMar>
              <w:top w:w="12" w:type="dxa"/>
              <w:left w:w="12" w:type="dxa"/>
              <w:right w:w="12" w:type="dxa"/>
            </w:tcMar>
            <w:vAlign w:val="center"/>
          </w:tcPr>
          <w:p>
            <w:pPr>
              <w:jc w:val="center"/>
              <w:rPr>
                <w:rFonts w:ascii="宋体" w:hAnsi="宋体" w:eastAsia="宋体" w:cs="宋体"/>
                <w:sz w:val="24"/>
              </w:rPr>
            </w:pPr>
            <w:r>
              <w:rPr>
                <w:rFonts w:hint="eastAsia" w:ascii="宋体" w:hAnsi="宋体" w:eastAsia="宋体" w:cs="宋体"/>
                <w:sz w:val="24"/>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4</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农业实用技术培训项目</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80.5</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22.85</w:t>
            </w:r>
          </w:p>
        </w:tc>
        <w:tc>
          <w:tcPr>
            <w:tcW w:w="1064" w:type="dxa"/>
            <w:tcBorders>
              <w:top w:val="dotted" w:color="000000" w:sz="4" w:space="0"/>
              <w:bottom w:val="dotted" w:color="000000" w:sz="4" w:space="0"/>
            </w:tcBorders>
            <w:tcMar>
              <w:top w:w="12" w:type="dxa"/>
              <w:left w:w="12" w:type="dxa"/>
              <w:right w:w="12" w:type="dxa"/>
            </w:tcMar>
            <w:vAlign w:val="center"/>
          </w:tcPr>
          <w:p>
            <w:pPr>
              <w:jc w:val="center"/>
              <w:rPr>
                <w:rFonts w:ascii="宋体" w:hAnsi="宋体" w:eastAsia="宋体" w:cs="宋体"/>
                <w:sz w:val="24"/>
              </w:rPr>
            </w:pPr>
            <w:r>
              <w:rPr>
                <w:rFonts w:hint="eastAsia" w:ascii="宋体" w:hAnsi="宋体" w:eastAsia="宋体" w:cs="宋体"/>
                <w:sz w:val="24"/>
              </w:rPr>
              <w:t>57.65</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5</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创业致富带头人培训</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193.55</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193.55</w:t>
            </w:r>
          </w:p>
        </w:tc>
        <w:tc>
          <w:tcPr>
            <w:tcW w:w="1064" w:type="dxa"/>
            <w:tcBorders>
              <w:top w:val="dotted" w:color="000000" w:sz="4" w:space="0"/>
              <w:bottom w:val="dotted" w:color="000000" w:sz="4" w:space="0"/>
            </w:tcBorders>
            <w:tcMar>
              <w:top w:w="12" w:type="dxa"/>
              <w:left w:w="12" w:type="dxa"/>
              <w:right w:w="12" w:type="dxa"/>
            </w:tcMar>
            <w:vAlign w:val="center"/>
          </w:tcPr>
          <w:p>
            <w:pPr>
              <w:jc w:val="center"/>
              <w:rPr>
                <w:rFonts w:ascii="宋体" w:hAnsi="宋体" w:eastAsia="宋体" w:cs="宋体"/>
                <w:sz w:val="24"/>
              </w:rPr>
            </w:pPr>
            <w:r>
              <w:rPr>
                <w:rFonts w:hint="eastAsia" w:ascii="宋体" w:hAnsi="宋体" w:eastAsia="宋体" w:cs="宋体"/>
                <w:sz w:val="24"/>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6</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农村第一书记和驻村工作队产业帮扶项目</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314.46</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314.46</w:t>
            </w:r>
          </w:p>
        </w:tc>
        <w:tc>
          <w:tcPr>
            <w:tcW w:w="1064" w:type="dxa"/>
            <w:tcBorders>
              <w:top w:val="dotted" w:color="000000" w:sz="4" w:space="0"/>
              <w:bottom w:val="dotted" w:color="000000" w:sz="4" w:space="0"/>
            </w:tcBorders>
            <w:tcMar>
              <w:top w:w="12" w:type="dxa"/>
              <w:left w:w="12" w:type="dxa"/>
              <w:right w:w="12" w:type="dxa"/>
            </w:tcMar>
            <w:vAlign w:val="center"/>
          </w:tcPr>
          <w:p>
            <w:pPr>
              <w:jc w:val="center"/>
              <w:rPr>
                <w:rFonts w:ascii="宋体" w:hAnsi="宋体" w:eastAsia="宋体" w:cs="宋体"/>
                <w:sz w:val="24"/>
              </w:rPr>
            </w:pPr>
            <w:r>
              <w:rPr>
                <w:rFonts w:hint="eastAsia" w:ascii="宋体" w:hAnsi="宋体" w:eastAsia="宋体" w:cs="宋体"/>
                <w:sz w:val="24"/>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7</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三自一带和双扶工程奖补项目</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600</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600</w:t>
            </w:r>
          </w:p>
        </w:tc>
        <w:tc>
          <w:tcPr>
            <w:tcW w:w="1064" w:type="dxa"/>
            <w:tcBorders>
              <w:top w:val="dotted" w:color="000000" w:sz="4" w:space="0"/>
              <w:bottom w:val="dotted" w:color="000000" w:sz="4" w:space="0"/>
            </w:tcBorders>
            <w:tcMar>
              <w:top w:w="12" w:type="dxa"/>
              <w:left w:w="12" w:type="dxa"/>
              <w:right w:w="12" w:type="dxa"/>
            </w:tcMar>
            <w:vAlign w:val="center"/>
          </w:tcPr>
          <w:p>
            <w:pPr>
              <w:jc w:val="center"/>
              <w:rPr>
                <w:rFonts w:ascii="宋体" w:hAnsi="宋体" w:eastAsia="宋体" w:cs="宋体"/>
                <w:sz w:val="24"/>
              </w:rPr>
            </w:pPr>
            <w:r>
              <w:rPr>
                <w:rFonts w:hint="eastAsia" w:ascii="宋体" w:hAnsi="宋体" w:eastAsia="宋体" w:cs="宋体"/>
                <w:sz w:val="24"/>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4"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8</w:t>
            </w:r>
          </w:p>
        </w:tc>
        <w:tc>
          <w:tcPr>
            <w:tcW w:w="38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widowControl/>
              <w:jc w:val="left"/>
              <w:rPr>
                <w:rFonts w:ascii="宋体" w:hAnsi="宋体" w:eastAsia="宋体" w:cs="宋体"/>
                <w:sz w:val="24"/>
              </w:rPr>
            </w:pPr>
            <w:r>
              <w:rPr>
                <w:rFonts w:hint="eastAsia" w:ascii="宋体" w:hAnsi="宋体" w:eastAsia="宋体" w:cs="宋体"/>
                <w:sz w:val="24"/>
              </w:rPr>
              <w:t>贫困户贷款贴息项目</w:t>
            </w:r>
          </w:p>
        </w:tc>
        <w:tc>
          <w:tcPr>
            <w:tcW w:w="1598"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1000</w:t>
            </w:r>
          </w:p>
        </w:tc>
        <w:tc>
          <w:tcPr>
            <w:tcW w:w="1596" w:type="dxa"/>
            <w:tcBorders>
              <w:top w:val="dotted" w:color="000000" w:sz="4" w:space="0"/>
              <w:bottom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840.95</w:t>
            </w:r>
          </w:p>
        </w:tc>
        <w:tc>
          <w:tcPr>
            <w:tcW w:w="1064" w:type="dxa"/>
            <w:tcBorders>
              <w:top w:val="dotted" w:color="000000" w:sz="4" w:space="0"/>
              <w:bottom w:val="dotted" w:color="000000" w:sz="4" w:space="0"/>
            </w:tcBorders>
            <w:tcMar>
              <w:top w:w="12" w:type="dxa"/>
              <w:left w:w="12" w:type="dxa"/>
              <w:right w:w="12" w:type="dxa"/>
            </w:tcMar>
            <w:vAlign w:val="center"/>
          </w:tcPr>
          <w:p>
            <w:pPr>
              <w:jc w:val="center"/>
              <w:rPr>
                <w:rFonts w:ascii="宋体" w:hAnsi="宋体" w:eastAsia="宋体" w:cs="宋体"/>
                <w:sz w:val="24"/>
              </w:rPr>
            </w:pPr>
            <w:r>
              <w:rPr>
                <w:rFonts w:hint="eastAsia" w:ascii="宋体" w:hAnsi="宋体" w:eastAsia="宋体" w:cs="宋体"/>
                <w:sz w:val="24"/>
              </w:rPr>
              <w:t>159.05</w:t>
            </w:r>
          </w:p>
        </w:tc>
      </w:tr>
      <w:bookmarkEnd w:id="17"/>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4678" w:type="dxa"/>
            <w:gridSpan w:val="2"/>
            <w:tcBorders>
              <w:top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合计</w:t>
            </w:r>
          </w:p>
        </w:tc>
        <w:tc>
          <w:tcPr>
            <w:tcW w:w="1598" w:type="dxa"/>
            <w:tcBorders>
              <w:top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2331.2</w:t>
            </w:r>
          </w:p>
        </w:tc>
        <w:tc>
          <w:tcPr>
            <w:tcW w:w="1596" w:type="dxa"/>
            <w:tcBorders>
              <w:top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2114.5</w:t>
            </w:r>
          </w:p>
        </w:tc>
        <w:tc>
          <w:tcPr>
            <w:tcW w:w="1064" w:type="dxa"/>
            <w:tcBorders>
              <w:top w:val="dotted" w:color="000000" w:sz="4" w:space="0"/>
            </w:tcBorders>
            <w:tcMar>
              <w:top w:w="12" w:type="dxa"/>
              <w:left w:w="12" w:type="dxa"/>
              <w:right w:w="12" w:type="dxa"/>
            </w:tcMar>
            <w:vAlign w:val="center"/>
          </w:tcPr>
          <w:p>
            <w:pPr>
              <w:pStyle w:val="8"/>
              <w:rPr>
                <w:rFonts w:ascii="宋体" w:hAnsi="宋体" w:cs="宋体"/>
                <w:szCs w:val="24"/>
              </w:rPr>
            </w:pPr>
            <w:r>
              <w:rPr>
                <w:rFonts w:hint="eastAsia" w:ascii="宋体" w:hAnsi="宋体" w:cs="宋体"/>
                <w:szCs w:val="24"/>
              </w:rPr>
              <w:t>216.7</w:t>
            </w:r>
          </w:p>
        </w:tc>
      </w:tr>
    </w:tbl>
    <w:p>
      <w:pPr>
        <w:pStyle w:val="5"/>
        <w:keepNext/>
        <w:keepLines w:val="0"/>
        <w:pageBreakBefore w:val="0"/>
        <w:widowControl w:val="0"/>
        <w:kinsoku/>
        <w:wordWrap/>
        <w:overflowPunct/>
        <w:topLinePunct w:val="0"/>
        <w:autoSpaceDE/>
        <w:autoSpaceDN/>
        <w:bidi w:val="0"/>
        <w:adjustRightInd/>
        <w:snapToGrid/>
        <w:spacing w:before="157" w:beforeLines="50"/>
        <w:ind w:firstLine="560"/>
        <w:textAlignment w:val="auto"/>
      </w:pPr>
      <w:bookmarkStart w:id="18" w:name="_Toc2045"/>
      <w:r>
        <w:rPr>
          <w:rFonts w:hint="eastAsia"/>
        </w:rPr>
        <w:t>（</w:t>
      </w:r>
      <w:r>
        <w:rPr>
          <w:rFonts w:hint="eastAsia"/>
          <w:lang w:val="en-US" w:eastAsia="zh-CN"/>
        </w:rPr>
        <w:t>四</w:t>
      </w:r>
      <w:r>
        <w:rPr>
          <w:rFonts w:hint="eastAsia"/>
        </w:rPr>
        <w:t>）项目绩效目标</w:t>
      </w:r>
      <w:bookmarkEnd w:id="12"/>
      <w:bookmarkEnd w:id="13"/>
      <w:bookmarkEnd w:id="18"/>
    </w:p>
    <w:p>
      <w:pPr>
        <w:pStyle w:val="42"/>
        <w:ind w:firstLine="562"/>
        <w:rPr>
          <w:b/>
          <w:bCs/>
        </w:rPr>
      </w:pPr>
      <w:bookmarkStart w:id="19" w:name="_Toc2414"/>
      <w:bookmarkStart w:id="20" w:name="_Toc6350"/>
      <w:bookmarkStart w:id="21" w:name="_Toc15376"/>
      <w:bookmarkStart w:id="22" w:name="_Toc20932"/>
      <w:bookmarkStart w:id="23" w:name="_Toc8271"/>
      <w:bookmarkStart w:id="24" w:name="_Toc16569"/>
      <w:bookmarkStart w:id="25" w:name="_Toc6775"/>
      <w:bookmarkStart w:id="26" w:name="_Toc9973"/>
      <w:bookmarkStart w:id="27" w:name="_Toc22408"/>
      <w:bookmarkStart w:id="28" w:name="_Toc20239"/>
      <w:bookmarkStart w:id="29" w:name="_Toc5928"/>
      <w:bookmarkStart w:id="30" w:name="_Toc17113"/>
      <w:r>
        <w:rPr>
          <w:rFonts w:hint="eastAsia"/>
          <w:b/>
          <w:bCs/>
        </w:rPr>
        <w:t>1.总体目标</w:t>
      </w:r>
    </w:p>
    <w:p>
      <w:pPr>
        <w:pStyle w:val="42"/>
        <w:ind w:firstLine="560"/>
      </w:pPr>
      <w:r>
        <w:rPr>
          <w:rFonts w:hint="eastAsia"/>
        </w:rPr>
        <w:t>通过实施建档立卡贫困户产业帮扶项目、精准移民安置小区刘家园村雨水管网及街道治理项目、贫困户贷款贴息项目、农业实用技术培训项目、三自一带和双扶工程奖补项目、农村第一书记和驻村工作队产业帮扶项目、创业致富带头人培训、各乡镇食用菌菌棒补贴项目等8个项目，发挥统筹整合资金优势和效益，发展贫困村的相关产业，扶持带动贫困户增收的农业企业和合作社，提高贫困户的经济收入，改善贫困户的生活条件，解决贫困人口缺乏劳动生产技能的问题，培育致富带头人，促进农村贫困人口就业和创业。</w:t>
      </w:r>
    </w:p>
    <w:p>
      <w:pPr>
        <w:pStyle w:val="42"/>
        <w:ind w:firstLine="562"/>
        <w:rPr>
          <w:b/>
          <w:bCs/>
        </w:rPr>
      </w:pPr>
      <w:bookmarkStart w:id="31" w:name="_Toc62656265"/>
      <w:bookmarkStart w:id="32" w:name="_Toc3186"/>
      <w:bookmarkStart w:id="33" w:name="_Toc62460014"/>
      <w:bookmarkStart w:id="34" w:name="_Toc62228850"/>
      <w:bookmarkStart w:id="35" w:name="_Toc85554958"/>
      <w:bookmarkStart w:id="36" w:name="_Toc78485843"/>
      <w:bookmarkStart w:id="37" w:name="_Toc72769088"/>
      <w:bookmarkStart w:id="38" w:name="_Toc85575875"/>
      <w:bookmarkStart w:id="39" w:name="_Toc78482387"/>
      <w:bookmarkStart w:id="40" w:name="_Toc84850079"/>
      <w:bookmarkStart w:id="41" w:name="_Toc85554821"/>
      <w:bookmarkStart w:id="42" w:name="_Toc85557217"/>
      <w:bookmarkStart w:id="43" w:name="_Toc72708109"/>
      <w:bookmarkStart w:id="44" w:name="_Toc62460243"/>
      <w:r>
        <w:rPr>
          <w:b/>
          <w:bCs/>
        </w:rPr>
        <w:t>2.</w:t>
      </w:r>
      <w:r>
        <w:rPr>
          <w:rFonts w:hint="eastAsia"/>
          <w:b/>
          <w:bCs/>
          <w:lang w:val="en-US" w:eastAsia="zh-CN"/>
        </w:rPr>
        <w:t>具体</w:t>
      </w:r>
      <w:r>
        <w:rPr>
          <w:b/>
          <w:bCs/>
        </w:rPr>
        <w:t>目标</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360" w:lineRule="auto"/>
        <w:ind w:firstLine="560" w:firstLineChars="200"/>
        <w:rPr>
          <w:rFonts w:ascii="仿宋_GB2312" w:hAnsi="仿宋_GB2312" w:eastAsia="仿宋_GB2312"/>
          <w:sz w:val="28"/>
          <w:szCs w:val="32"/>
        </w:rPr>
      </w:pPr>
      <w:r>
        <w:rPr>
          <w:rFonts w:ascii="仿宋_GB2312" w:hAnsi="仿宋_GB2312" w:eastAsia="仿宋_GB2312"/>
          <w:sz w:val="28"/>
          <w:szCs w:val="32"/>
        </w:rPr>
        <w:t>按照财政部《关于印发项目支出绩效评价管理办法的通知》</w:t>
      </w:r>
      <w:r>
        <w:rPr>
          <w:rFonts w:hint="eastAsia" w:ascii="仿宋_GB2312" w:hAnsi="仿宋_GB2312" w:eastAsia="仿宋_GB2312"/>
          <w:sz w:val="28"/>
          <w:szCs w:val="32"/>
          <w:lang w:eastAsia="zh-CN"/>
        </w:rPr>
        <w:t>（</w:t>
      </w:r>
      <w:r>
        <w:rPr>
          <w:rFonts w:ascii="仿宋_GB2312" w:hAnsi="仿宋_GB2312" w:eastAsia="仿宋_GB2312"/>
          <w:sz w:val="28"/>
          <w:szCs w:val="32"/>
        </w:rPr>
        <w:t>财预〔2020〕10号</w:t>
      </w:r>
      <w:r>
        <w:rPr>
          <w:rFonts w:hint="eastAsia" w:ascii="仿宋_GB2312" w:hAnsi="仿宋_GB2312" w:eastAsia="仿宋_GB2312"/>
          <w:sz w:val="28"/>
          <w:szCs w:val="32"/>
          <w:lang w:eastAsia="zh-CN"/>
        </w:rPr>
        <w:t>）</w:t>
      </w:r>
      <w:r>
        <w:rPr>
          <w:rFonts w:ascii="仿宋_GB2312" w:hAnsi="仿宋_GB2312" w:eastAsia="仿宋_GB2312"/>
          <w:sz w:val="28"/>
          <w:szCs w:val="32"/>
        </w:rPr>
        <w:t>，实施阶段具体目标从项目决策、过程、产出、效益四个维度梳理为：</w:t>
      </w:r>
    </w:p>
    <w:p>
      <w:pPr>
        <w:spacing w:line="360" w:lineRule="auto"/>
        <w:ind w:firstLine="560" w:firstLineChars="200"/>
        <w:rPr>
          <w:rFonts w:ascii="仿宋_GB2312" w:hAnsi="仿宋_GB2312" w:eastAsia="仿宋_GB2312"/>
          <w:sz w:val="28"/>
          <w:szCs w:val="32"/>
        </w:rPr>
      </w:pPr>
      <w:r>
        <w:rPr>
          <w:rFonts w:ascii="仿宋_GB2312" w:hAnsi="仿宋_GB2312" w:eastAsia="仿宋_GB2312"/>
          <w:sz w:val="28"/>
          <w:szCs w:val="32"/>
        </w:rPr>
        <w:t>（1）决策：项目立项程序规范</w:t>
      </w:r>
      <w:r>
        <w:rPr>
          <w:rFonts w:hint="eastAsia" w:ascii="仿宋_GB2312" w:hAnsi="仿宋_GB2312" w:eastAsia="仿宋_GB2312"/>
          <w:sz w:val="28"/>
          <w:szCs w:val="32"/>
        </w:rPr>
        <w:t>，经过必要的可行性分析、风险评估、集体决策</w:t>
      </w:r>
      <w:r>
        <w:rPr>
          <w:rFonts w:ascii="仿宋_GB2312" w:hAnsi="仿宋_GB2312" w:eastAsia="仿宋_GB2312"/>
          <w:sz w:val="28"/>
          <w:szCs w:val="32"/>
        </w:rPr>
        <w:t>；项目立项资料完整准确；绩效目标</w:t>
      </w:r>
      <w:r>
        <w:rPr>
          <w:rFonts w:hint="eastAsia" w:ascii="仿宋_GB2312" w:hAnsi="仿宋_GB2312" w:eastAsia="仿宋_GB2312"/>
          <w:sz w:val="28"/>
          <w:szCs w:val="32"/>
        </w:rPr>
        <w:t>设置</w:t>
      </w:r>
      <w:r>
        <w:rPr>
          <w:rFonts w:ascii="仿宋_GB2312" w:hAnsi="仿宋_GB2312" w:eastAsia="仿宋_GB2312"/>
          <w:sz w:val="28"/>
          <w:szCs w:val="32"/>
        </w:rPr>
        <w:t>合理</w:t>
      </w:r>
      <w:r>
        <w:rPr>
          <w:rFonts w:hint="eastAsia" w:ascii="仿宋_GB2312" w:hAnsi="仿宋_GB2312" w:eastAsia="仿宋_GB2312"/>
          <w:sz w:val="28"/>
          <w:szCs w:val="32"/>
        </w:rPr>
        <w:t>，与预算投资额相匹配；绩效指标清晰可衡量，与计划任务数相对应</w:t>
      </w:r>
      <w:r>
        <w:rPr>
          <w:rFonts w:ascii="仿宋_GB2312" w:hAnsi="仿宋_GB2312" w:eastAsia="仿宋_GB2312"/>
          <w:sz w:val="28"/>
          <w:szCs w:val="32"/>
        </w:rPr>
        <w:t>；</w:t>
      </w:r>
      <w:r>
        <w:rPr>
          <w:rFonts w:hint="eastAsia" w:ascii="仿宋_GB2312" w:hAnsi="仿宋_GB2312" w:eastAsia="仿宋_GB2312"/>
          <w:sz w:val="28"/>
          <w:szCs w:val="32"/>
        </w:rPr>
        <w:t>项目</w:t>
      </w:r>
      <w:r>
        <w:rPr>
          <w:rFonts w:ascii="仿宋_GB2312" w:hAnsi="仿宋_GB2312" w:eastAsia="仿宋_GB2312"/>
          <w:sz w:val="28"/>
          <w:szCs w:val="32"/>
        </w:rPr>
        <w:t>资金</w:t>
      </w:r>
      <w:r>
        <w:rPr>
          <w:rFonts w:hint="eastAsia" w:ascii="仿宋_GB2312" w:hAnsi="仿宋_GB2312" w:eastAsia="仿宋_GB2312"/>
          <w:sz w:val="28"/>
          <w:szCs w:val="32"/>
        </w:rPr>
        <w:t>及时全额</w:t>
      </w:r>
      <w:r>
        <w:rPr>
          <w:rFonts w:ascii="仿宋_GB2312" w:hAnsi="仿宋_GB2312" w:eastAsia="仿宋_GB2312"/>
          <w:sz w:val="28"/>
          <w:szCs w:val="32"/>
        </w:rPr>
        <w:t>到位。</w:t>
      </w:r>
    </w:p>
    <w:p>
      <w:pPr>
        <w:spacing w:line="360" w:lineRule="auto"/>
        <w:ind w:firstLine="560" w:firstLineChars="200"/>
        <w:rPr>
          <w:rFonts w:ascii="仿宋_GB2312" w:hAnsi="仿宋_GB2312" w:eastAsia="仿宋_GB2312"/>
          <w:sz w:val="28"/>
          <w:szCs w:val="32"/>
        </w:rPr>
      </w:pPr>
      <w:r>
        <w:rPr>
          <w:rFonts w:ascii="仿宋_GB2312" w:hAnsi="仿宋_GB2312" w:eastAsia="仿宋_GB2312"/>
          <w:sz w:val="28"/>
          <w:szCs w:val="32"/>
        </w:rPr>
        <w:t>（2）过程：项目管理制度健全且</w:t>
      </w:r>
      <w:r>
        <w:rPr>
          <w:rFonts w:hint="eastAsia" w:ascii="仿宋_GB2312" w:hAnsi="仿宋_GB2312" w:eastAsia="仿宋_GB2312"/>
          <w:sz w:val="28"/>
          <w:szCs w:val="32"/>
        </w:rPr>
        <w:t>合法合规，制度执行有效，实施流程规范，档案资料齐全；项目质量可控，经过必要的检查和验收；资金支出合规，预算执行到位，</w:t>
      </w:r>
      <w:r>
        <w:rPr>
          <w:rFonts w:ascii="仿宋_GB2312" w:hAnsi="仿宋_GB2312" w:eastAsia="仿宋_GB2312"/>
          <w:sz w:val="28"/>
          <w:szCs w:val="32"/>
        </w:rPr>
        <w:t>财务监控有效</w:t>
      </w:r>
      <w:r>
        <w:rPr>
          <w:rFonts w:hint="eastAsia" w:ascii="仿宋_GB2312" w:hAnsi="仿宋_GB2312" w:eastAsia="仿宋_GB2312"/>
          <w:sz w:val="28"/>
          <w:szCs w:val="32"/>
        </w:rPr>
        <w:t>；</w:t>
      </w:r>
    </w:p>
    <w:p>
      <w:pPr>
        <w:spacing w:line="360" w:lineRule="auto"/>
        <w:ind w:firstLine="560" w:firstLineChars="200"/>
        <w:rPr>
          <w:rFonts w:ascii="仿宋_GB2312" w:hAnsi="仿宋_GB2312" w:eastAsia="仿宋_GB2312"/>
          <w:sz w:val="28"/>
          <w:szCs w:val="32"/>
        </w:rPr>
      </w:pPr>
      <w:r>
        <w:rPr>
          <w:rFonts w:ascii="仿宋_GB2312" w:hAnsi="仿宋_GB2312" w:eastAsia="仿宋_GB2312"/>
          <w:sz w:val="28"/>
          <w:szCs w:val="32"/>
        </w:rPr>
        <w:t>（3）产出：</w:t>
      </w:r>
      <w:r>
        <w:rPr>
          <w:rFonts w:hint="eastAsia" w:ascii="仿宋_GB2312" w:hAnsi="仿宋_GB2312" w:eastAsia="仿宋_GB2312"/>
          <w:sz w:val="28"/>
          <w:szCs w:val="32"/>
        </w:rPr>
        <w:t>一是及时将各类补贴资金下达至各乡镇，以便于各乡镇尽早将各项补贴发放到贫困户和合作社手中</w:t>
      </w:r>
      <w:r>
        <w:rPr>
          <w:rFonts w:ascii="仿宋_GB2312" w:hAnsi="仿宋_GB2312" w:eastAsia="仿宋_GB2312"/>
          <w:sz w:val="28"/>
          <w:szCs w:val="32"/>
        </w:rPr>
        <w:t>。</w:t>
      </w:r>
      <w:r>
        <w:rPr>
          <w:rFonts w:hint="eastAsia" w:ascii="仿宋_GB2312" w:hAnsi="仿宋_GB2312" w:eastAsia="仿宋_GB2312"/>
          <w:sz w:val="28"/>
          <w:szCs w:val="32"/>
        </w:rPr>
        <w:t>二是为符合要求且有贷款意愿的贫困户办理小额贴息贷款。三是完成对562名致富带头人的培训和230名贫困人口的农业实用技术培训。四是完成刘家园村雨水管网及街道治理工作。</w:t>
      </w:r>
    </w:p>
    <w:p>
      <w:pPr>
        <w:pStyle w:val="42"/>
        <w:ind w:firstLine="560"/>
        <w:rPr>
          <w:b/>
          <w:bCs/>
        </w:rPr>
      </w:pPr>
      <w:r>
        <w:t>（4）效益：</w:t>
      </w:r>
      <w:r>
        <w:rPr>
          <w:rFonts w:hint="eastAsia"/>
        </w:rPr>
        <w:t>通过扶持养殖、种植、农产品加工、旅游、农家乐等相关产业，带动农业企业和合作社的进一步发展，提高贫困户的经济收入，改善贫困户的生活条件，解决贫困人口缺乏劳动生产技能的问题，培育致富带头人，促进农村贫困人口就业和创业。</w:t>
      </w:r>
    </w:p>
    <w:p>
      <w:pPr>
        <w:pStyle w:val="4"/>
        <w:ind w:firstLine="560"/>
      </w:pPr>
      <w:bookmarkStart w:id="45" w:name="_Toc5177"/>
      <w:bookmarkStart w:id="46" w:name="_Toc23148"/>
      <w:r>
        <w:rPr>
          <w:rFonts w:hint="eastAsia"/>
        </w:rPr>
        <w:t>二、绩效评价工作情况</w:t>
      </w:r>
      <w:bookmarkEnd w:id="19"/>
      <w:bookmarkEnd w:id="45"/>
      <w:bookmarkEnd w:id="46"/>
    </w:p>
    <w:p>
      <w:pPr>
        <w:pStyle w:val="5"/>
        <w:ind w:firstLine="560"/>
      </w:pPr>
      <w:bookmarkStart w:id="47" w:name="_Toc453771161"/>
      <w:bookmarkStart w:id="48" w:name="_Toc26925"/>
      <w:bookmarkStart w:id="49" w:name="_Toc5521"/>
      <w:bookmarkStart w:id="50" w:name="_Toc13715"/>
      <w:bookmarkStart w:id="51" w:name="_Toc25672"/>
      <w:bookmarkStart w:id="52" w:name="_Toc16373"/>
      <w:bookmarkStart w:id="53" w:name="_Toc5545"/>
      <w:bookmarkStart w:id="54" w:name="_Toc7828"/>
      <w:bookmarkStart w:id="55" w:name="_Toc17366"/>
      <w:r>
        <w:rPr>
          <w:rFonts w:hint="eastAsia"/>
        </w:rPr>
        <w:t>（一）评价目</w:t>
      </w:r>
      <w:bookmarkEnd w:id="47"/>
      <w:bookmarkEnd w:id="48"/>
      <w:r>
        <w:rPr>
          <w:rFonts w:hint="eastAsia"/>
        </w:rPr>
        <w:t>的</w:t>
      </w:r>
      <w:bookmarkEnd w:id="49"/>
      <w:bookmarkEnd w:id="50"/>
      <w:bookmarkEnd w:id="51"/>
      <w:bookmarkEnd w:id="52"/>
      <w:bookmarkEnd w:id="53"/>
      <w:bookmarkEnd w:id="54"/>
      <w:bookmarkEnd w:id="55"/>
    </w:p>
    <w:p>
      <w:pPr>
        <w:pStyle w:val="42"/>
        <w:ind w:firstLine="560"/>
        <w:rPr>
          <w:rFonts w:hint="eastAsia" w:ascii="Arial" w:hAnsi="Arial" w:eastAsia="楷体_GB2312"/>
        </w:rPr>
      </w:pPr>
      <w:bookmarkStart w:id="56" w:name="_Toc26830"/>
      <w:bookmarkStart w:id="57" w:name="_Toc453771162"/>
      <w:r>
        <w:rPr>
          <w:rFonts w:hint="eastAsia"/>
        </w:rPr>
        <w:t>本次绩效评价的目的主要是通过考察宁武县扶贫开发办公室各建设项目预算执行情况、项目操作规范性、工作任务完成情况、项目实施后效益等，及时总结项目工作经验、发现实施过程中存在的问题，并分析原因，为项目实施单位提出合理化建议；同时，为财政部门规范和加强财政专项资金管理，科学配置资源，提高财政资金的使用效益，为合理安排以后年度财政预算安排提供重要的参考依据。</w:t>
      </w:r>
      <w:bookmarkStart w:id="58" w:name="_Toc5323"/>
      <w:bookmarkStart w:id="59" w:name="_Toc1863"/>
      <w:bookmarkStart w:id="60" w:name="_Toc18140"/>
      <w:bookmarkStart w:id="61" w:name="_Toc17012"/>
      <w:bookmarkStart w:id="62" w:name="_Toc12590"/>
      <w:bookmarkStart w:id="63" w:name="_Toc12882"/>
    </w:p>
    <w:p>
      <w:pPr>
        <w:pStyle w:val="2"/>
        <w:overflowPunct w:val="0"/>
        <w:spacing w:before="0"/>
        <w:ind w:firstLine="560" w:firstLineChars="200"/>
        <w:outlineLvl w:val="1"/>
        <w:rPr>
          <w:rFonts w:ascii="楷体_GB2312" w:hAnsi="楷体_GB2312" w:eastAsia="楷体_GB2312" w:cs="楷体_GB2312"/>
          <w:szCs w:val="28"/>
        </w:rPr>
      </w:pPr>
      <w:bookmarkStart w:id="64" w:name="_Toc19981"/>
      <w:r>
        <w:rPr>
          <w:rFonts w:hint="eastAsia" w:ascii="Arial" w:hAnsi="Arial" w:eastAsia="楷体_GB2312"/>
        </w:rPr>
        <w:t>（</w:t>
      </w:r>
      <w:r>
        <w:rPr>
          <w:rFonts w:hint="eastAsia" w:ascii="Arial" w:hAnsi="Arial" w:eastAsia="楷体_GB2312"/>
          <w:lang w:val="en-US" w:eastAsia="zh-CN"/>
        </w:rPr>
        <w:t>二</w:t>
      </w:r>
      <w:r>
        <w:rPr>
          <w:rFonts w:hint="eastAsia" w:ascii="Arial" w:hAnsi="Arial" w:eastAsia="楷体_GB2312"/>
        </w:rPr>
        <w:t>）</w:t>
      </w:r>
      <w:r>
        <w:rPr>
          <w:rFonts w:hint="eastAsia" w:ascii="楷体_GB2312" w:hAnsi="楷体_GB2312" w:eastAsia="楷体_GB2312" w:cs="楷体_GB2312"/>
          <w:szCs w:val="28"/>
        </w:rPr>
        <w:t>评价对象</w:t>
      </w:r>
      <w:r>
        <w:rPr>
          <w:rFonts w:hint="eastAsia" w:ascii="楷体_GB2312" w:hAnsi="楷体_GB2312" w:eastAsia="楷体_GB2312" w:cs="楷体_GB2312"/>
          <w:szCs w:val="28"/>
          <w:lang w:val="en-US" w:eastAsia="zh-CN"/>
        </w:rPr>
        <w:t>和</w:t>
      </w:r>
      <w:r>
        <w:rPr>
          <w:rFonts w:hint="eastAsia" w:ascii="楷体_GB2312" w:hAnsi="楷体_GB2312" w:eastAsia="楷体_GB2312" w:cs="楷体_GB2312"/>
          <w:szCs w:val="28"/>
        </w:rPr>
        <w:t>范围</w:t>
      </w:r>
      <w:bookmarkEnd w:id="64"/>
    </w:p>
    <w:p>
      <w:pPr>
        <w:pStyle w:val="2"/>
        <w:overflowPunct w:val="0"/>
        <w:spacing w:before="0"/>
        <w:ind w:firstLine="560" w:firstLineChars="200"/>
        <w:rPr>
          <w:rFonts w:ascii="仿宋_GB2312" w:hAnsi="仿宋_GB2312" w:eastAsia="仿宋_GB2312"/>
          <w:szCs w:val="32"/>
        </w:rPr>
      </w:pPr>
      <w:r>
        <w:rPr>
          <w:rFonts w:hint="eastAsia" w:ascii="仿宋_GB2312" w:hAnsi="仿宋_GB2312" w:eastAsia="仿宋_GB2312"/>
          <w:szCs w:val="32"/>
        </w:rPr>
        <w:t>本次绩效评价对象是宁武县扶贫开发办公室2020年统筹整合财政资金2330.7万元。</w:t>
      </w:r>
    </w:p>
    <w:p>
      <w:pPr>
        <w:pStyle w:val="2"/>
        <w:overflowPunct w:val="0"/>
        <w:spacing w:before="0"/>
        <w:ind w:firstLine="560" w:firstLineChars="200"/>
        <w:rPr>
          <w:rFonts w:ascii="仿宋_GB2312" w:hAnsi="仿宋_GB2312" w:eastAsia="仿宋_GB2312"/>
          <w:szCs w:val="32"/>
        </w:rPr>
      </w:pPr>
      <w:r>
        <w:rPr>
          <w:rFonts w:hint="eastAsia" w:ascii="仿宋_GB2312" w:hAnsi="仿宋_GB2312" w:eastAsia="仿宋_GB2312"/>
          <w:szCs w:val="32"/>
        </w:rPr>
        <w:t>本次绩效评价范围是2020年统筹整合财政资金2330.7万元涉及的8个由宁武县扶贫开发办公室组织实施的项目，具体绩效评价范围包括项目决策、过程、产出和效益。</w:t>
      </w:r>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outlineLvl w:val="1"/>
        <w:rPr>
          <w:rFonts w:hint="eastAsia" w:ascii="楷体_GB2312" w:eastAsia="楷体_GB2312" w:hAnsiTheme="majorHAnsi" w:cstheme="majorBidi"/>
          <w:bCs/>
          <w:kern w:val="2"/>
          <w:sz w:val="28"/>
          <w:szCs w:val="32"/>
          <w:lang w:val="en-US" w:eastAsia="zh-CN" w:bidi="ar-SA"/>
        </w:rPr>
      </w:pPr>
      <w:bookmarkStart w:id="65" w:name="_Toc5746"/>
      <w:bookmarkStart w:id="66" w:name="_Toc16701"/>
      <w:bookmarkStart w:id="67" w:name="_Toc72769092"/>
      <w:bookmarkStart w:id="68" w:name="_Toc78482269"/>
      <w:bookmarkStart w:id="69" w:name="_Toc85575879"/>
      <w:r>
        <w:rPr>
          <w:rFonts w:hint="eastAsia" w:ascii="楷体_GB2312" w:eastAsia="楷体_GB2312" w:hAnsiTheme="majorHAnsi" w:cstheme="majorBidi"/>
          <w:bCs/>
          <w:kern w:val="2"/>
          <w:sz w:val="28"/>
          <w:szCs w:val="32"/>
          <w:lang w:val="en-US" w:eastAsia="zh-CN" w:bidi="ar-SA"/>
        </w:rPr>
        <w:t>（三）评价基准日</w:t>
      </w:r>
      <w:bookmarkEnd w:id="65"/>
      <w:bookmarkEnd w:id="66"/>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rPr>
          <w:rFonts w:hint="eastAsia" w:ascii="Arial" w:hAnsi="Arial" w:eastAsia="楷体_GB2312"/>
          <w:lang w:eastAsia="zh-CN"/>
        </w:rPr>
      </w:pPr>
      <w:r>
        <w:rPr>
          <w:rFonts w:hint="eastAsia" w:ascii="仿宋_GB2312" w:hAnsi="仿宋_GB2312" w:eastAsia="仿宋_GB2312" w:cs="仿宋_GB2312"/>
          <w:lang w:val="en-US" w:eastAsia="zh-CN"/>
        </w:rPr>
        <w:t>本次绩效评价基准日为2020年12月31日。</w:t>
      </w:r>
    </w:p>
    <w:bookmarkEnd w:id="56"/>
    <w:bookmarkEnd w:id="57"/>
    <w:bookmarkEnd w:id="58"/>
    <w:bookmarkEnd w:id="59"/>
    <w:bookmarkEnd w:id="60"/>
    <w:bookmarkEnd w:id="61"/>
    <w:bookmarkEnd w:id="62"/>
    <w:bookmarkEnd w:id="63"/>
    <w:bookmarkEnd w:id="67"/>
    <w:bookmarkEnd w:id="68"/>
    <w:bookmarkEnd w:id="69"/>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kern w:val="2"/>
          <w:sz w:val="28"/>
          <w:szCs w:val="28"/>
          <w:highlight w:val="none"/>
          <w:lang w:val="en-US" w:eastAsia="zh-CN" w:bidi="ar-SA"/>
        </w:rPr>
      </w:pPr>
      <w:bookmarkStart w:id="70" w:name="_Toc1246"/>
      <w:bookmarkStart w:id="71" w:name="_Toc17275"/>
      <w:bookmarkStart w:id="72" w:name="_Toc85"/>
      <w:bookmarkStart w:id="73" w:name="_Toc2515"/>
      <w:bookmarkStart w:id="74" w:name="_Toc22985"/>
      <w:r>
        <w:rPr>
          <w:rFonts w:hint="eastAsia" w:ascii="楷体_GB2312" w:hAnsi="楷体_GB2312" w:eastAsia="楷体_GB2312" w:cs="楷体_GB2312"/>
          <w:i w:val="0"/>
          <w:iCs w:val="0"/>
          <w:caps w:val="0"/>
          <w:color w:val="000000"/>
          <w:spacing w:val="0"/>
          <w:kern w:val="2"/>
          <w:sz w:val="28"/>
          <w:szCs w:val="28"/>
          <w:highlight w:val="none"/>
          <w:lang w:val="en-US" w:eastAsia="zh-CN" w:bidi="ar-SA"/>
        </w:rPr>
        <w:t>（四）绩效评价指标体系</w:t>
      </w:r>
      <w:bookmarkEnd w:id="70"/>
      <w:bookmarkEnd w:id="71"/>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outlineLvl w:val="9"/>
        <w:rPr>
          <w:rFonts w:hint="eastAsia" w:ascii="仿宋_GB2312" w:hAnsi="仿宋_GB2312" w:eastAsia="仿宋_GB2312" w:cs="仿宋_GB2312"/>
          <w:b/>
          <w:bCs/>
          <w:i w:val="0"/>
          <w:iCs w:val="0"/>
          <w:caps w:val="0"/>
          <w:color w:val="000000"/>
          <w:spacing w:val="0"/>
          <w:kern w:val="2"/>
          <w:sz w:val="28"/>
          <w:szCs w:val="28"/>
          <w:highlight w:val="none"/>
          <w:lang w:val="en-US" w:eastAsia="zh-CN" w:bidi="ar-SA"/>
        </w:rPr>
      </w:pPr>
      <w:r>
        <w:rPr>
          <w:rFonts w:hint="eastAsia" w:ascii="仿宋_GB2312" w:hAnsi="仿宋_GB2312" w:eastAsia="仿宋_GB2312" w:cs="仿宋_GB2312"/>
          <w:b/>
          <w:bCs/>
          <w:i w:val="0"/>
          <w:iCs w:val="0"/>
          <w:caps w:val="0"/>
          <w:color w:val="000000"/>
          <w:spacing w:val="0"/>
          <w:kern w:val="2"/>
          <w:sz w:val="28"/>
          <w:szCs w:val="28"/>
          <w:highlight w:val="none"/>
          <w:lang w:val="en-US" w:eastAsia="zh-CN" w:bidi="ar-SA"/>
        </w:rPr>
        <w:t>1.指标体系设计思路</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000000"/>
          <w:spacing w:val="0"/>
          <w:kern w:val="2"/>
          <w:sz w:val="28"/>
          <w:szCs w:val="28"/>
          <w:highlight w:val="none"/>
          <w:lang w:val="en-US" w:eastAsia="zh-CN" w:bidi="ar-SA"/>
        </w:rPr>
      </w:pPr>
      <w:r>
        <w:rPr>
          <w:rFonts w:hint="eastAsia" w:ascii="仿宋_GB2312" w:hAnsi="仿宋_GB2312" w:eastAsia="仿宋_GB2312" w:cs="仿宋_GB2312"/>
          <w:i w:val="0"/>
          <w:iCs w:val="0"/>
          <w:caps w:val="0"/>
          <w:color w:val="000000"/>
          <w:spacing w:val="0"/>
          <w:kern w:val="2"/>
          <w:sz w:val="28"/>
          <w:szCs w:val="28"/>
          <w:highlight w:val="none"/>
          <w:lang w:val="en-US" w:eastAsia="zh-CN" w:bidi="ar-SA"/>
        </w:rPr>
        <w:t>按照财政部《项目支出绩效评价管理办法》（财预〔2020〕10号）和山西省《省级项目支出绩效评价管理办法》（晋财绩〔2020〕17号）中的项目支出绩效评价指标体系框架（参考），遵循“突出项目资金、兼顾政策内容”的评价思路，结合宁武县扶贫开发办公室2020年统筹整合项目的实际情况，本着全面反映宁武县扶贫开发办公室2020年统筹整合项目的预算绩效管理情况，本着尽可能细化、量化、可操作的原则，结合计划标准、历史标准等制定指标的目标值，兼顾相关政策内容，设计形成了宁武县扶贫开发办公室2020年统筹整合项目支出绩效评价指标体系，从决策、过程、产出和效益四个维度进行评价。</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outlineLvl w:val="9"/>
        <w:rPr>
          <w:rFonts w:hint="eastAsia" w:ascii="仿宋_GB2312" w:hAnsi="仿宋_GB2312" w:eastAsia="仿宋_GB2312" w:cs="仿宋_GB2312"/>
          <w:b/>
          <w:bCs/>
          <w:i w:val="0"/>
          <w:iCs w:val="0"/>
          <w:caps w:val="0"/>
          <w:color w:val="000000"/>
          <w:spacing w:val="0"/>
          <w:kern w:val="2"/>
          <w:sz w:val="28"/>
          <w:szCs w:val="28"/>
          <w:highlight w:val="none"/>
          <w:lang w:val="zh-CN" w:eastAsia="zh-CN" w:bidi="ar-SA"/>
        </w:rPr>
      </w:pPr>
      <w:r>
        <w:rPr>
          <w:rFonts w:hint="eastAsia" w:ascii="仿宋_GB2312" w:hAnsi="仿宋_GB2312" w:eastAsia="仿宋_GB2312" w:cs="仿宋_GB2312"/>
          <w:b/>
          <w:bCs/>
          <w:i w:val="0"/>
          <w:iCs w:val="0"/>
          <w:caps w:val="0"/>
          <w:color w:val="000000"/>
          <w:spacing w:val="0"/>
          <w:kern w:val="2"/>
          <w:sz w:val="28"/>
          <w:szCs w:val="28"/>
          <w:highlight w:val="none"/>
          <w:lang w:val="en-US" w:eastAsia="zh-CN" w:bidi="ar-SA"/>
        </w:rPr>
        <w:t>2</w:t>
      </w:r>
      <w:r>
        <w:rPr>
          <w:rFonts w:hint="eastAsia" w:ascii="仿宋_GB2312" w:hAnsi="仿宋_GB2312" w:eastAsia="仿宋_GB2312" w:cs="仿宋_GB2312"/>
          <w:b/>
          <w:bCs/>
          <w:i w:val="0"/>
          <w:iCs w:val="0"/>
          <w:caps w:val="0"/>
          <w:color w:val="000000"/>
          <w:spacing w:val="0"/>
          <w:kern w:val="2"/>
          <w:sz w:val="28"/>
          <w:szCs w:val="28"/>
          <w:highlight w:val="none"/>
          <w:lang w:val="zh-CN" w:eastAsia="zh-CN" w:bidi="ar-SA"/>
        </w:rPr>
        <w:t>.权重设计思路</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000000"/>
          <w:spacing w:val="0"/>
          <w:kern w:val="2"/>
          <w:sz w:val="28"/>
          <w:szCs w:val="28"/>
          <w:highlight w:val="none"/>
          <w:lang w:val="en-US" w:eastAsia="zh-CN" w:bidi="ar-SA"/>
        </w:rPr>
      </w:pPr>
      <w:r>
        <w:rPr>
          <w:rFonts w:hint="eastAsia" w:ascii="仿宋_GB2312" w:hAnsi="仿宋_GB2312" w:eastAsia="仿宋_GB2312" w:cs="仿宋_GB2312"/>
          <w:i w:val="0"/>
          <w:iCs w:val="0"/>
          <w:caps w:val="0"/>
          <w:color w:val="000000"/>
          <w:spacing w:val="0"/>
          <w:kern w:val="2"/>
          <w:sz w:val="28"/>
          <w:szCs w:val="28"/>
          <w:highlight w:val="none"/>
          <w:lang w:val="zh-CN" w:eastAsia="zh-CN" w:bidi="ar-SA"/>
        </w:rPr>
        <w:t>本次</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绩效评价一级指标</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权重设计</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按照财政部《项目支出绩效评价管理办法》（财预〔2020〕10号）和山西省财政厅《省级项目支出绩效评价管理办法》（晋财绩〔2020〕17号）文件要求执行</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，最终确定</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决策</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类指标权重占比</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2</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0%，过程类指标权重占比</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2</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0%，产出类指标权重占比</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3</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0%，效益类指标权重占比</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3</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0%。二、三级指标</w:t>
      </w:r>
      <w:r>
        <w:rPr>
          <w:rFonts w:hint="eastAsia" w:ascii="仿宋_GB2312" w:hAnsi="仿宋_GB2312" w:eastAsia="仿宋_GB2312" w:cs="仿宋_GB2312"/>
          <w:i w:val="0"/>
          <w:iCs w:val="0"/>
          <w:caps w:val="0"/>
          <w:color w:val="000000"/>
          <w:spacing w:val="0"/>
          <w:kern w:val="2"/>
          <w:sz w:val="28"/>
          <w:szCs w:val="28"/>
          <w:highlight w:val="none"/>
          <w:lang w:val="en-US" w:eastAsia="zh-CN" w:bidi="ar-SA"/>
        </w:rPr>
        <w:t>权重分值</w:t>
      </w:r>
      <w:r>
        <w:rPr>
          <w:rFonts w:hint="eastAsia" w:ascii="仿宋_GB2312" w:hAnsi="仿宋_GB2312" w:eastAsia="仿宋_GB2312" w:cs="仿宋_GB2312"/>
          <w:i w:val="0"/>
          <w:iCs w:val="0"/>
          <w:caps w:val="0"/>
          <w:color w:val="000000"/>
          <w:spacing w:val="0"/>
          <w:kern w:val="2"/>
          <w:sz w:val="28"/>
          <w:szCs w:val="28"/>
          <w:highlight w:val="none"/>
          <w:lang w:val="zh-CN" w:eastAsia="zh-CN" w:bidi="ar-SA"/>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outlineLvl w:val="9"/>
        <w:rPr>
          <w:rFonts w:hint="eastAsia" w:ascii="仿宋_GB2312" w:hAnsi="仿宋_GB2312" w:eastAsia="仿宋_GB2312" w:cs="仿宋_GB2312"/>
          <w:b/>
          <w:bCs/>
          <w:i w:val="0"/>
          <w:iCs w:val="0"/>
          <w:caps w:val="0"/>
          <w:color w:val="000000"/>
          <w:spacing w:val="0"/>
          <w:kern w:val="2"/>
          <w:sz w:val="28"/>
          <w:szCs w:val="28"/>
          <w:highlight w:val="none"/>
          <w:lang w:val="en-US" w:eastAsia="zh-CN" w:bidi="ar-SA"/>
        </w:rPr>
      </w:pPr>
      <w:r>
        <w:rPr>
          <w:rFonts w:hint="eastAsia" w:ascii="仿宋_GB2312" w:hAnsi="仿宋_GB2312" w:eastAsia="仿宋_GB2312" w:cs="仿宋_GB2312"/>
          <w:b/>
          <w:bCs/>
          <w:i w:val="0"/>
          <w:iCs w:val="0"/>
          <w:caps w:val="0"/>
          <w:color w:val="000000"/>
          <w:spacing w:val="0"/>
          <w:kern w:val="2"/>
          <w:sz w:val="28"/>
          <w:szCs w:val="28"/>
          <w:highlight w:val="none"/>
          <w:lang w:val="en-US" w:eastAsia="zh-CN" w:bidi="ar-SA"/>
        </w:rPr>
        <w:t>3.指标体系具体内容</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default" w:ascii="仿宋_GB2312" w:hAnsi="仿宋_GB2312" w:eastAsia="仿宋_GB2312" w:cs="仿宋_GB2312"/>
          <w:i w:val="0"/>
          <w:iCs w:val="0"/>
          <w:caps w:val="0"/>
          <w:color w:val="000000"/>
          <w:spacing w:val="0"/>
          <w:kern w:val="2"/>
          <w:sz w:val="28"/>
          <w:szCs w:val="28"/>
          <w:highlight w:val="none"/>
          <w:lang w:val="en-US" w:eastAsia="zh-CN" w:bidi="ar-SA"/>
        </w:rPr>
      </w:pPr>
      <w:r>
        <w:rPr>
          <w:rFonts w:hint="eastAsia" w:ascii="仿宋_GB2312" w:hAnsi="仿宋_GB2312" w:eastAsia="仿宋_GB2312" w:cs="仿宋_GB2312"/>
          <w:i w:val="0"/>
          <w:iCs w:val="0"/>
          <w:caps w:val="0"/>
          <w:color w:val="000000"/>
          <w:spacing w:val="0"/>
          <w:kern w:val="2"/>
          <w:sz w:val="28"/>
          <w:szCs w:val="28"/>
          <w:highlight w:val="none"/>
          <w:lang w:val="en-US" w:eastAsia="zh-CN" w:bidi="ar-SA"/>
        </w:rPr>
        <w:t>指标体系由4项一级指标、12项二级指标、19项三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社会效益、经济效益、生态效益、可持续影响、满意度进行考核。</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75" w:name="_Toc10955"/>
      <w:bookmarkStart w:id="76" w:name="_Toc19231"/>
      <w:r>
        <w:rPr>
          <w:rFonts w:hint="eastAsia" w:ascii="楷体_GB2312" w:hAnsi="楷体_GB2312" w:eastAsia="楷体_GB2312" w:cs="楷体_GB2312"/>
          <w:i w:val="0"/>
          <w:iCs w:val="0"/>
          <w:caps w:val="0"/>
          <w:color w:val="000000"/>
          <w:spacing w:val="0"/>
          <w:sz w:val="28"/>
          <w:szCs w:val="27"/>
          <w:highlight w:val="none"/>
          <w:lang w:val="en-US" w:eastAsia="zh-CN"/>
        </w:rPr>
        <w:t>（五）绩效评价工作过程</w:t>
      </w:r>
      <w:bookmarkEnd w:id="75"/>
      <w:bookmarkEnd w:id="76"/>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eastAsia" w:ascii="仿宋_GB2312" w:hAnsi="仿宋_GB2312" w:eastAsia="仿宋_GB2312" w:cstheme="minorBidi"/>
          <w:kern w:val="2"/>
          <w:sz w:val="28"/>
          <w:szCs w:val="32"/>
          <w:lang w:val="en-US" w:eastAsia="zh-CN" w:bidi="ar-SA"/>
        </w:rPr>
        <w:t>接受宁武县财政局</w:t>
      </w:r>
      <w:r>
        <w:rPr>
          <w:rFonts w:hint="default" w:ascii="仿宋_GB2312" w:hAnsi="仿宋_GB2312" w:eastAsia="仿宋_GB2312" w:cstheme="minorBidi"/>
          <w:kern w:val="2"/>
          <w:sz w:val="28"/>
          <w:szCs w:val="32"/>
          <w:lang w:val="en-US" w:eastAsia="zh-CN" w:bidi="ar-SA"/>
        </w:rPr>
        <w:t>的委托</w:t>
      </w:r>
      <w:r>
        <w:rPr>
          <w:rFonts w:hint="eastAsia" w:ascii="仿宋_GB2312" w:hAnsi="仿宋_GB2312" w:eastAsia="仿宋_GB2312" w:cstheme="minorBidi"/>
          <w:kern w:val="2"/>
          <w:sz w:val="28"/>
          <w:szCs w:val="32"/>
          <w:lang w:val="en-US" w:eastAsia="zh-CN" w:bidi="ar-SA"/>
        </w:rPr>
        <w:t>后</w:t>
      </w:r>
      <w:r>
        <w:rPr>
          <w:rFonts w:hint="default" w:ascii="仿宋_GB2312" w:hAnsi="仿宋_GB2312" w:eastAsia="仿宋_GB2312" w:cstheme="minorBidi"/>
          <w:kern w:val="2"/>
          <w:sz w:val="28"/>
          <w:szCs w:val="32"/>
          <w:lang w:val="en-US" w:eastAsia="zh-CN" w:bidi="ar-SA"/>
        </w:rPr>
        <w:t>，我公司高度重视，积极筹备，成立项目领导组负责评价过程的协调和督导。</w:t>
      </w:r>
      <w:r>
        <w:rPr>
          <w:rFonts w:hint="eastAsia" w:ascii="仿宋_GB2312" w:hAnsi="仿宋_GB2312" w:eastAsia="仿宋_GB2312" w:cstheme="minorBidi"/>
          <w:kern w:val="2"/>
          <w:sz w:val="28"/>
          <w:szCs w:val="32"/>
          <w:lang w:val="en-US" w:eastAsia="zh-CN" w:bidi="ar-SA"/>
        </w:rPr>
        <w:t>具体</w:t>
      </w:r>
      <w:r>
        <w:rPr>
          <w:rFonts w:hint="default" w:ascii="仿宋_GB2312" w:hAnsi="仿宋_GB2312" w:eastAsia="仿宋_GB2312" w:cstheme="minorBidi"/>
          <w:kern w:val="2"/>
          <w:sz w:val="28"/>
          <w:szCs w:val="32"/>
          <w:lang w:val="en-US" w:eastAsia="zh-CN" w:bidi="ar-SA"/>
        </w:rPr>
        <w:t>工作分为</w:t>
      </w:r>
      <w:r>
        <w:rPr>
          <w:rFonts w:hint="eastAsia" w:ascii="仿宋_GB2312" w:hAnsi="仿宋_GB2312" w:eastAsia="仿宋_GB2312" w:cstheme="minorBidi"/>
          <w:kern w:val="2"/>
          <w:sz w:val="28"/>
          <w:szCs w:val="32"/>
          <w:lang w:val="en-US" w:eastAsia="zh-CN" w:bidi="ar-SA"/>
        </w:rPr>
        <w:t>前期</w:t>
      </w:r>
      <w:r>
        <w:rPr>
          <w:rFonts w:hint="default" w:ascii="仿宋_GB2312" w:hAnsi="仿宋_GB2312" w:eastAsia="仿宋_GB2312" w:cstheme="minorBidi"/>
          <w:kern w:val="2"/>
          <w:sz w:val="28"/>
          <w:szCs w:val="32"/>
          <w:lang w:val="en-US" w:eastAsia="zh-CN" w:bidi="ar-SA"/>
        </w:rPr>
        <w:t>准备、</w:t>
      </w:r>
      <w:r>
        <w:rPr>
          <w:rFonts w:hint="eastAsia" w:ascii="仿宋_GB2312" w:hAnsi="仿宋_GB2312" w:eastAsia="仿宋_GB2312" w:cstheme="minorBidi"/>
          <w:kern w:val="2"/>
          <w:sz w:val="28"/>
          <w:szCs w:val="32"/>
          <w:lang w:val="en-US" w:eastAsia="zh-CN" w:bidi="ar-SA"/>
        </w:rPr>
        <w:t>现场</w:t>
      </w:r>
      <w:r>
        <w:rPr>
          <w:rFonts w:hint="default" w:ascii="仿宋_GB2312" w:hAnsi="仿宋_GB2312" w:eastAsia="仿宋_GB2312" w:cstheme="minorBidi"/>
          <w:kern w:val="2"/>
          <w:sz w:val="28"/>
          <w:szCs w:val="32"/>
          <w:lang w:val="en-US" w:eastAsia="zh-CN" w:bidi="ar-SA"/>
        </w:rPr>
        <w:t>实施、报告撰写三个阶段。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theme="minorBidi"/>
          <w:b/>
          <w:bCs/>
          <w:kern w:val="2"/>
          <w:sz w:val="28"/>
          <w:szCs w:val="32"/>
          <w:lang w:val="en-US" w:eastAsia="zh-CN" w:bidi="ar-SA"/>
        </w:rPr>
      </w:pPr>
      <w:r>
        <w:rPr>
          <w:rFonts w:hint="default" w:ascii="仿宋_GB2312" w:hAnsi="仿宋_GB2312" w:eastAsia="仿宋_GB2312" w:cstheme="minorBidi"/>
          <w:b/>
          <w:bCs/>
          <w:kern w:val="2"/>
          <w:sz w:val="28"/>
          <w:szCs w:val="32"/>
          <w:lang w:val="en-US" w:eastAsia="zh-CN" w:bidi="ar-SA"/>
        </w:rPr>
        <w:t>1.评价准备阶段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default" w:ascii="仿宋_GB2312" w:hAnsi="仿宋_GB2312" w:eastAsia="仿宋_GB2312" w:cstheme="minorBidi"/>
          <w:kern w:val="2"/>
          <w:sz w:val="28"/>
          <w:szCs w:val="32"/>
          <w:lang w:val="en-US" w:eastAsia="zh-CN" w:bidi="ar-SA"/>
        </w:rPr>
        <w:t>根据山西省《省级项目支出绩效评价管理办法》（晋财绩〔2020〕17号）文件精神和</w:t>
      </w:r>
      <w:r>
        <w:rPr>
          <w:rFonts w:hint="eastAsia" w:ascii="仿宋_GB2312" w:hAnsi="仿宋_GB2312" w:eastAsia="仿宋_GB2312" w:cstheme="minorBidi"/>
          <w:kern w:val="2"/>
          <w:sz w:val="28"/>
          <w:szCs w:val="32"/>
          <w:lang w:val="en-US" w:eastAsia="zh-CN" w:bidi="ar-SA"/>
        </w:rPr>
        <w:t>《关于开展2020年度项目支出绩效评价工作的通知》（宁财字〔2021〕13号）</w:t>
      </w:r>
      <w:r>
        <w:rPr>
          <w:rFonts w:hint="default" w:ascii="仿宋_GB2312" w:hAnsi="仿宋_GB2312" w:eastAsia="仿宋_GB2312" w:cstheme="minorBidi"/>
          <w:kern w:val="2"/>
          <w:sz w:val="28"/>
          <w:szCs w:val="32"/>
          <w:lang w:val="en-US" w:eastAsia="zh-CN" w:bidi="ar-SA"/>
        </w:rPr>
        <w:t>总体要求，明确评价目的和工作思路，联系</w:t>
      </w:r>
      <w:r>
        <w:rPr>
          <w:rFonts w:hint="eastAsia" w:ascii="仿宋_GB2312" w:hAnsi="仿宋_GB2312" w:eastAsia="仿宋_GB2312" w:cstheme="minorBidi"/>
          <w:kern w:val="2"/>
          <w:sz w:val="28"/>
          <w:szCs w:val="32"/>
          <w:lang w:val="en-US" w:eastAsia="zh-CN" w:bidi="ar-SA"/>
        </w:rPr>
        <w:t>主管单位、实施单位</w:t>
      </w:r>
      <w:r>
        <w:rPr>
          <w:rFonts w:hint="default" w:ascii="仿宋_GB2312" w:hAnsi="仿宋_GB2312" w:eastAsia="仿宋_GB2312" w:cstheme="minorBidi"/>
          <w:kern w:val="2"/>
          <w:sz w:val="28"/>
          <w:szCs w:val="32"/>
          <w:lang w:val="en-US" w:eastAsia="zh-CN" w:bidi="ar-SA"/>
        </w:rPr>
        <w:t>开展调研，收集相关政策文件和信息资料，编制绩效评价指标体系、评分标准和评价等级。</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theme="minorBidi"/>
          <w:b/>
          <w:bCs/>
          <w:kern w:val="2"/>
          <w:sz w:val="28"/>
          <w:szCs w:val="32"/>
          <w:lang w:val="en-US" w:eastAsia="zh-CN" w:bidi="ar-SA"/>
        </w:rPr>
      </w:pPr>
      <w:r>
        <w:rPr>
          <w:rFonts w:hint="default" w:ascii="仿宋_GB2312" w:hAnsi="仿宋_GB2312" w:eastAsia="仿宋_GB2312" w:cstheme="minorBidi"/>
          <w:b/>
          <w:bCs/>
          <w:kern w:val="2"/>
          <w:sz w:val="28"/>
          <w:szCs w:val="32"/>
          <w:lang w:val="en-US" w:eastAsia="zh-CN" w:bidi="ar-SA"/>
        </w:rPr>
        <w:t>2.组织实施阶段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eastAsia" w:ascii="仿宋_GB2312" w:hAnsi="仿宋_GB2312" w:eastAsia="仿宋_GB2312" w:cstheme="minorBidi"/>
          <w:kern w:val="2"/>
          <w:sz w:val="28"/>
          <w:szCs w:val="32"/>
          <w:lang w:val="en-US" w:eastAsia="zh-CN" w:bidi="ar-SA"/>
        </w:rPr>
      </w:pPr>
      <w:bookmarkStart w:id="77" w:name="_Toc32670"/>
      <w:r>
        <w:rPr>
          <w:rFonts w:hint="default" w:ascii="仿宋_GB2312" w:hAnsi="仿宋_GB2312" w:eastAsia="仿宋_GB2312" w:cstheme="minorBidi"/>
          <w:kern w:val="2"/>
          <w:sz w:val="28"/>
          <w:szCs w:val="32"/>
          <w:lang w:val="en-US" w:eastAsia="zh-CN" w:bidi="ar-SA"/>
        </w:rPr>
        <w:t>（1）</w:t>
      </w:r>
      <w:r>
        <w:rPr>
          <w:rFonts w:hint="eastAsia" w:ascii="仿宋_GB2312" w:hAnsi="仿宋_GB2312" w:eastAsia="仿宋_GB2312" w:cstheme="minorBidi"/>
          <w:kern w:val="2"/>
          <w:sz w:val="28"/>
          <w:szCs w:val="32"/>
          <w:lang w:val="en-US" w:eastAsia="zh-CN" w:bidi="ar-SA"/>
        </w:rPr>
        <w:t>围绕评价指标补充</w:t>
      </w:r>
      <w:r>
        <w:rPr>
          <w:rFonts w:hint="default" w:ascii="仿宋_GB2312" w:hAnsi="仿宋_GB2312" w:eastAsia="仿宋_GB2312" w:cstheme="minorBidi"/>
          <w:kern w:val="2"/>
          <w:sz w:val="28"/>
          <w:szCs w:val="32"/>
          <w:lang w:val="en-US" w:eastAsia="zh-CN" w:bidi="ar-SA"/>
        </w:rPr>
        <w:t>收集</w:t>
      </w:r>
      <w:r>
        <w:rPr>
          <w:rFonts w:hint="eastAsia" w:ascii="仿宋_GB2312" w:hAnsi="仿宋_GB2312" w:eastAsia="仿宋_GB2312" w:cstheme="minorBidi"/>
          <w:kern w:val="2"/>
          <w:sz w:val="28"/>
          <w:szCs w:val="32"/>
          <w:lang w:val="en-US" w:eastAsia="zh-CN" w:bidi="ar-SA"/>
        </w:rPr>
        <w:t>相关</w:t>
      </w:r>
      <w:r>
        <w:rPr>
          <w:rFonts w:hint="default" w:ascii="仿宋_GB2312" w:hAnsi="仿宋_GB2312" w:eastAsia="仿宋_GB2312" w:cstheme="minorBidi"/>
          <w:kern w:val="2"/>
          <w:sz w:val="28"/>
          <w:szCs w:val="32"/>
          <w:lang w:val="en-US" w:eastAsia="zh-CN" w:bidi="ar-SA"/>
        </w:rPr>
        <w:t>资料</w:t>
      </w:r>
      <w:bookmarkEnd w:id="77"/>
      <w:r>
        <w:rPr>
          <w:rFonts w:hint="eastAsia" w:ascii="仿宋_GB2312" w:hAnsi="仿宋_GB2312" w:eastAsia="仿宋_GB2312" w:cstheme="minorBidi"/>
          <w:kern w:val="2"/>
          <w:sz w:val="28"/>
          <w:szCs w:val="32"/>
          <w:lang w:val="en-US" w:eastAsia="zh-CN" w:bidi="ar-SA"/>
        </w:rPr>
        <w:t>。</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theme="minorBidi"/>
          <w:kern w:val="2"/>
          <w:sz w:val="28"/>
          <w:szCs w:val="32"/>
          <w:lang w:val="en-US" w:eastAsia="zh-CN" w:bidi="ar-SA"/>
        </w:rPr>
      </w:pPr>
      <w:bookmarkStart w:id="78" w:name="_Toc2125"/>
      <w:r>
        <w:rPr>
          <w:rFonts w:hint="default" w:ascii="仿宋_GB2312" w:hAnsi="仿宋_GB2312" w:eastAsia="仿宋_GB2312" w:cstheme="minorBidi"/>
          <w:kern w:val="2"/>
          <w:sz w:val="28"/>
          <w:szCs w:val="32"/>
          <w:lang w:val="en-US" w:eastAsia="zh-CN" w:bidi="ar-SA"/>
        </w:rPr>
        <w:t>（2）现场勘查。根据评价对象的特点和项目单位提供的数据资料，现场勘查项目建设情况及运营情况。</w:t>
      </w:r>
      <w:bookmarkEnd w:id="78"/>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theme="minorBidi"/>
          <w:kern w:val="2"/>
          <w:sz w:val="28"/>
          <w:szCs w:val="32"/>
          <w:lang w:val="en-US" w:eastAsia="zh-CN" w:bidi="ar-SA"/>
        </w:rPr>
      </w:pPr>
      <w:bookmarkStart w:id="79" w:name="_Toc8827"/>
      <w:r>
        <w:rPr>
          <w:rFonts w:hint="eastAsia" w:ascii="仿宋_GB2312" w:hAnsi="仿宋_GB2312" w:eastAsia="仿宋_GB2312" w:cstheme="minorBidi"/>
          <w:kern w:val="2"/>
          <w:sz w:val="28"/>
          <w:szCs w:val="32"/>
          <w:lang w:val="en-US" w:eastAsia="zh-CN" w:bidi="ar-SA"/>
        </w:rPr>
        <w:t>（3）满意度调查。向项目受益群体发放一定数量的满意度调查问卷，汇总受益群体对项目的意见及建议，形成满意度调查问卷分析。</w:t>
      </w:r>
      <w:bookmarkEnd w:id="79"/>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theme="minorBidi"/>
          <w:kern w:val="2"/>
          <w:sz w:val="28"/>
          <w:szCs w:val="32"/>
          <w:lang w:val="en-US" w:eastAsia="zh-CN" w:bidi="ar-SA"/>
        </w:rPr>
      </w:pPr>
      <w:bookmarkStart w:id="80" w:name="_Toc6703"/>
      <w:r>
        <w:rPr>
          <w:rFonts w:hint="default" w:ascii="仿宋_GB2312" w:hAnsi="仿宋_GB2312" w:eastAsia="仿宋_GB2312" w:cstheme="minorBidi"/>
          <w:kern w:val="2"/>
          <w:sz w:val="28"/>
          <w:szCs w:val="32"/>
          <w:lang w:val="en-US" w:eastAsia="zh-CN" w:bidi="ar-SA"/>
        </w:rPr>
        <w:t>（</w:t>
      </w:r>
      <w:r>
        <w:rPr>
          <w:rFonts w:hint="eastAsia" w:ascii="仿宋_GB2312" w:hAnsi="仿宋_GB2312" w:eastAsia="仿宋_GB2312" w:cstheme="minorBidi"/>
          <w:kern w:val="2"/>
          <w:sz w:val="28"/>
          <w:szCs w:val="32"/>
          <w:lang w:val="en-US" w:eastAsia="zh-CN" w:bidi="ar-SA"/>
        </w:rPr>
        <w:t>4</w:t>
      </w:r>
      <w:r>
        <w:rPr>
          <w:rFonts w:hint="default" w:ascii="仿宋_GB2312" w:hAnsi="仿宋_GB2312" w:eastAsia="仿宋_GB2312" w:cstheme="minorBidi"/>
          <w:kern w:val="2"/>
          <w:sz w:val="28"/>
          <w:szCs w:val="32"/>
          <w:lang w:val="en-US" w:eastAsia="zh-CN" w:bidi="ar-SA"/>
        </w:rPr>
        <w:t>）综合评价。根据评价工作方案确定的评价指标、评价权重、评价标准和评价方法，对评价对象的情况进行全面的定量定性分析和综合评价。</w:t>
      </w:r>
      <w:bookmarkEnd w:id="80"/>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theme="minorBidi"/>
          <w:b/>
          <w:bCs/>
          <w:kern w:val="2"/>
          <w:sz w:val="28"/>
          <w:szCs w:val="32"/>
          <w:lang w:val="en-US" w:eastAsia="zh-CN" w:bidi="ar-SA"/>
        </w:rPr>
      </w:pPr>
      <w:bookmarkStart w:id="81" w:name="_Toc30607"/>
      <w:r>
        <w:rPr>
          <w:rFonts w:hint="default" w:ascii="仿宋_GB2312" w:hAnsi="仿宋_GB2312" w:eastAsia="仿宋_GB2312" w:cstheme="minorBidi"/>
          <w:b/>
          <w:bCs/>
          <w:kern w:val="2"/>
          <w:sz w:val="28"/>
          <w:szCs w:val="32"/>
          <w:lang w:val="en-US" w:eastAsia="zh-CN" w:bidi="ar-SA"/>
        </w:rPr>
        <w:t>3.报告撰写阶段</w:t>
      </w:r>
      <w:bookmarkEnd w:id="81"/>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82" w:name="_Toc3178"/>
      <w:r>
        <w:rPr>
          <w:rFonts w:hint="default" w:ascii="仿宋_GB2312" w:hAnsi="仿宋_GB2312" w:eastAsia="仿宋_GB2312" w:cstheme="minorBidi"/>
          <w:kern w:val="2"/>
          <w:sz w:val="28"/>
          <w:szCs w:val="32"/>
          <w:lang w:val="en-US" w:eastAsia="zh-CN" w:bidi="ar-SA"/>
        </w:rPr>
        <w:t>绩效评价组根据被评价单位的绩效情况，按要求撰写评价报告，并根据专家意见进一步完善、修改绩效评价报告，形成</w:t>
      </w:r>
      <w:r>
        <w:rPr>
          <w:rFonts w:hint="eastAsia" w:ascii="仿宋_GB2312" w:hAnsi="仿宋_GB2312" w:eastAsia="仿宋_GB2312" w:cstheme="minorBidi"/>
          <w:kern w:val="2"/>
          <w:sz w:val="28"/>
          <w:szCs w:val="32"/>
          <w:lang w:val="en-US" w:eastAsia="zh-CN" w:bidi="ar-SA"/>
        </w:rPr>
        <w:t>报告提交报送委托评价单位。</w:t>
      </w:r>
      <w:bookmarkEnd w:id="82"/>
    </w:p>
    <w:p>
      <w:pPr>
        <w:pStyle w:val="4"/>
        <w:ind w:firstLine="560"/>
        <w:rPr>
          <w:rFonts w:hint="default" w:ascii="黑体" w:hAnsi="黑体" w:eastAsia="黑体" w:cs="黑体"/>
          <w:b/>
          <w:szCs w:val="28"/>
          <w:lang w:val="en-US" w:eastAsia="zh-CN"/>
        </w:rPr>
      </w:pPr>
      <w:bookmarkStart w:id="83" w:name="_Toc28893"/>
      <w:r>
        <w:rPr>
          <w:rFonts w:hint="eastAsia"/>
        </w:rPr>
        <w:t>三、</w:t>
      </w:r>
      <w:bookmarkEnd w:id="72"/>
      <w:bookmarkEnd w:id="73"/>
      <w:bookmarkEnd w:id="74"/>
      <w:r>
        <w:rPr>
          <w:rFonts w:hint="eastAsia"/>
          <w:lang w:val="en-US" w:eastAsia="zh-CN"/>
        </w:rPr>
        <w:t>综合评价情况及评价结论</w:t>
      </w:r>
      <w:bookmarkEnd w:id="83"/>
    </w:p>
    <w:p>
      <w:pPr>
        <w:pStyle w:val="5"/>
        <w:ind w:firstLine="560"/>
        <w:rPr>
          <w:rFonts w:hint="eastAsia" w:eastAsia="楷体_GB2312"/>
          <w:lang w:eastAsia="zh-CN"/>
        </w:rPr>
      </w:pPr>
      <w:bookmarkStart w:id="84" w:name="_Toc29458"/>
      <w:bookmarkStart w:id="85" w:name="_Toc9894"/>
      <w:bookmarkStart w:id="86" w:name="_Toc453771167"/>
      <w:bookmarkStart w:id="87" w:name="_Toc6539"/>
      <w:bookmarkStart w:id="88" w:name="_Toc29953"/>
      <w:bookmarkStart w:id="89" w:name="_Toc16955"/>
      <w:bookmarkStart w:id="90" w:name="_Toc3350"/>
      <w:bookmarkStart w:id="91" w:name="_Toc20304"/>
      <w:bookmarkStart w:id="92" w:name="_Toc26929"/>
      <w:bookmarkStart w:id="93" w:name="_Toc21568"/>
      <w:bookmarkStart w:id="94" w:name="_Toc22708"/>
      <w:bookmarkStart w:id="95" w:name="_Toc32460"/>
      <w:r>
        <w:rPr>
          <w:rFonts w:hint="eastAsia"/>
        </w:rPr>
        <w:t>（一）</w:t>
      </w:r>
      <w:bookmarkEnd w:id="84"/>
      <w:bookmarkEnd w:id="85"/>
      <w:bookmarkEnd w:id="86"/>
      <w:bookmarkEnd w:id="87"/>
      <w:bookmarkEnd w:id="88"/>
      <w:bookmarkEnd w:id="89"/>
      <w:bookmarkEnd w:id="90"/>
      <w:bookmarkEnd w:id="91"/>
      <w:bookmarkEnd w:id="92"/>
      <w:bookmarkEnd w:id="93"/>
      <w:bookmarkEnd w:id="94"/>
      <w:r>
        <w:rPr>
          <w:rFonts w:hint="eastAsia"/>
          <w:lang w:val="en-US" w:eastAsia="zh-CN"/>
        </w:rPr>
        <w:t>综合评价情况</w:t>
      </w:r>
      <w:bookmarkEnd w:id="95"/>
    </w:p>
    <w:p>
      <w:pPr>
        <w:pStyle w:val="42"/>
        <w:ind w:firstLine="560"/>
      </w:pPr>
      <w:bookmarkStart w:id="96" w:name="_Toc31408"/>
      <w:bookmarkStart w:id="97" w:name="_Toc31779"/>
      <w:bookmarkStart w:id="98" w:name="_Toc4476"/>
      <w:bookmarkStart w:id="99" w:name="_Toc28374"/>
      <w:bookmarkStart w:id="100" w:name="_Toc2389"/>
      <w:bookmarkStart w:id="101" w:name="_Toc453771170"/>
      <w:bookmarkStart w:id="102" w:name="_Toc16417"/>
      <w:bookmarkStart w:id="103" w:name="_Toc14575"/>
      <w:bookmarkStart w:id="104" w:name="_Toc12655"/>
      <w:r>
        <w:rPr>
          <w:rFonts w:hint="eastAsia"/>
        </w:rPr>
        <w:t>本次评价以2020年12月31日为评价基准日，评价组对照项目绩效评价指标体系，从决策、过程、产出和效益四个维度，对宁武县扶贫开发办公室主管的8个项目开展评价工作，经过查阅项目资料、实地抽查、对比分析、指标评分、报告撰写等必要的评价程序后，最终形成如下评价结果，详见表3-1。</w:t>
      </w:r>
    </w:p>
    <w:p>
      <w:pPr>
        <w:pStyle w:val="42"/>
        <w:ind w:firstLine="560"/>
      </w:pPr>
      <w:r>
        <w:rPr>
          <w:rFonts w:hint="eastAsia"/>
        </w:rPr>
        <w:t>根据《关于开展2020年度项目支出绩效评价的通知》（宁财字〔2021〕13号）文件的评分等级划分，宁武县扶贫开发办公室2020年统筹整合财政资金绩效评价得分为</w:t>
      </w:r>
      <w:r>
        <w:rPr>
          <w:rFonts w:hint="eastAsia"/>
          <w:lang w:eastAsia="zh-CN"/>
        </w:rPr>
        <w:t>85.77</w:t>
      </w:r>
      <w:r>
        <w:rPr>
          <w:rFonts w:hint="eastAsia"/>
        </w:rPr>
        <w:t>分，评价等级为“良”。</w:t>
      </w:r>
    </w:p>
    <w:p>
      <w:pPr>
        <w:pStyle w:val="2"/>
        <w:overflowPunct w:val="0"/>
        <w:spacing w:before="0"/>
        <w:jc w:val="center"/>
        <w:rPr>
          <w:rFonts w:ascii="宋体" w:hAnsi="宋体" w:eastAsia="宋体" w:cs="宋体"/>
          <w:szCs w:val="28"/>
        </w:rPr>
      </w:pPr>
      <w:r>
        <w:rPr>
          <w:rFonts w:hint="eastAsia" w:ascii="宋体" w:hAnsi="宋体" w:eastAsia="宋体" w:cs="宋体"/>
          <w:szCs w:val="28"/>
        </w:rPr>
        <w:t>表3-1 各项目得分明细表</w:t>
      </w:r>
    </w:p>
    <w:tbl>
      <w:tblPr>
        <w:tblStyle w:val="16"/>
        <w:tblpPr w:leftFromText="180" w:rightFromText="180" w:vertAnchor="text" w:tblpXSpec="center" w:tblpY="1"/>
        <w:tblOverlap w:val="never"/>
        <w:tblW w:w="4996"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920"/>
        <w:gridCol w:w="4605"/>
        <w:gridCol w:w="1821"/>
        <w:gridCol w:w="1821"/>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shd w:val="clear" w:color="auto" w:fill="BEBEBE"/>
            <w:vAlign w:val="center"/>
          </w:tcPr>
          <w:p>
            <w:pPr>
              <w:pStyle w:val="42"/>
              <w:spacing w:line="24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511" w:type="pct"/>
            <w:tcBorders>
              <w:tl2br w:val="nil"/>
              <w:tr2bl w:val="nil"/>
            </w:tcBorders>
            <w:shd w:val="clear" w:color="auto" w:fill="BEBEBE"/>
            <w:vAlign w:val="center"/>
          </w:tcPr>
          <w:p>
            <w:pPr>
              <w:pStyle w:val="42"/>
              <w:spacing w:line="24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项目</w:t>
            </w:r>
          </w:p>
        </w:tc>
        <w:tc>
          <w:tcPr>
            <w:tcW w:w="993" w:type="pct"/>
            <w:tcBorders>
              <w:tl2br w:val="nil"/>
              <w:tr2bl w:val="nil"/>
            </w:tcBorders>
            <w:shd w:val="clear" w:color="auto" w:fill="BEBEBE"/>
            <w:vAlign w:val="center"/>
          </w:tcPr>
          <w:p>
            <w:pPr>
              <w:pStyle w:val="42"/>
              <w:spacing w:line="24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评分</w:t>
            </w:r>
          </w:p>
        </w:tc>
        <w:tc>
          <w:tcPr>
            <w:tcW w:w="993" w:type="pct"/>
            <w:tcBorders>
              <w:tl2br w:val="nil"/>
              <w:tr2bl w:val="nil"/>
            </w:tcBorders>
            <w:shd w:val="clear" w:color="auto" w:fill="BEBEBE"/>
            <w:vAlign w:val="center"/>
          </w:tcPr>
          <w:p>
            <w:pPr>
              <w:pStyle w:val="42"/>
              <w:spacing w:line="24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评价等级</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1</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各乡镇食用菌菌棒补贴</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80</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良</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2</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精准移民安置小区刘家园村雨水管网及街道治理项目</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88</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优</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3</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建档立卡贫困户产业帮扶项目</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80.8</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良</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4</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农业实用技术培训</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89.57</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良</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5</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创业致富带头人培训</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91</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优</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6</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农村第一书记和驻村工作队产业帮扶项目</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66</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中</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b/>
                <w:bCs/>
                <w:szCs w:val="24"/>
              </w:rPr>
            </w:pPr>
            <w:r>
              <w:rPr>
                <w:rFonts w:hint="eastAsia" w:ascii="宋体" w:hAnsi="宋体" w:cs="宋体"/>
                <w:szCs w:val="24"/>
              </w:rPr>
              <w:t>7</w:t>
            </w:r>
          </w:p>
        </w:tc>
        <w:tc>
          <w:tcPr>
            <w:tcW w:w="2511" w:type="pct"/>
            <w:tcBorders>
              <w:tl2br w:val="nil"/>
              <w:tr2bl w:val="nil"/>
            </w:tcBorders>
            <w:vAlign w:val="center"/>
          </w:tcPr>
          <w:p>
            <w:pPr>
              <w:widowControl/>
              <w:jc w:val="left"/>
              <w:rPr>
                <w:rFonts w:ascii="宋体" w:hAnsi="宋体" w:eastAsia="宋体" w:cs="宋体"/>
                <w:b/>
                <w:bCs/>
                <w:sz w:val="24"/>
              </w:rPr>
            </w:pPr>
            <w:r>
              <w:rPr>
                <w:rFonts w:hint="eastAsia" w:ascii="宋体" w:hAnsi="宋体" w:eastAsia="宋体" w:cs="宋体"/>
                <w:sz w:val="24"/>
              </w:rPr>
              <w:t>三自一带和双扶工程奖补项目</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88</w:t>
            </w:r>
          </w:p>
        </w:tc>
        <w:tc>
          <w:tcPr>
            <w:tcW w:w="993" w:type="pct"/>
            <w:tcBorders>
              <w:tl2br w:val="nil"/>
              <w:tr2bl w:val="nil"/>
            </w:tcBorders>
            <w:vAlign w:val="center"/>
          </w:tcPr>
          <w:p>
            <w:pPr>
              <w:pStyle w:val="42"/>
              <w:spacing w:line="240" w:lineRule="auto"/>
              <w:ind w:firstLine="0" w:firstLineChars="0"/>
              <w:jc w:val="center"/>
              <w:rPr>
                <w:rFonts w:ascii="宋体" w:hAnsi="宋体" w:eastAsia="宋体" w:cs="宋体"/>
                <w:sz w:val="24"/>
                <w:szCs w:val="24"/>
              </w:rPr>
            </w:pPr>
            <w:r>
              <w:rPr>
                <w:rFonts w:hint="eastAsia" w:ascii="宋体" w:hAnsi="宋体" w:eastAsia="宋体" w:cs="宋体"/>
                <w:sz w:val="24"/>
                <w:szCs w:val="24"/>
              </w:rPr>
              <w:t>良</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502" w:type="pct"/>
            <w:tcBorders>
              <w:tl2br w:val="nil"/>
              <w:tr2bl w:val="nil"/>
            </w:tcBorders>
            <w:vAlign w:val="center"/>
          </w:tcPr>
          <w:p>
            <w:pPr>
              <w:pStyle w:val="8"/>
              <w:rPr>
                <w:rFonts w:ascii="宋体" w:hAnsi="宋体" w:cs="宋体"/>
                <w:szCs w:val="24"/>
              </w:rPr>
            </w:pPr>
            <w:r>
              <w:rPr>
                <w:rFonts w:hint="eastAsia" w:ascii="宋体" w:hAnsi="宋体" w:cs="宋体"/>
                <w:szCs w:val="24"/>
              </w:rPr>
              <w:t>8</w:t>
            </w:r>
          </w:p>
        </w:tc>
        <w:tc>
          <w:tcPr>
            <w:tcW w:w="2511" w:type="pct"/>
            <w:tcBorders>
              <w:tl2br w:val="nil"/>
              <w:tr2bl w:val="nil"/>
            </w:tcBorders>
            <w:vAlign w:val="center"/>
          </w:tcPr>
          <w:p>
            <w:pPr>
              <w:widowControl/>
              <w:jc w:val="left"/>
              <w:rPr>
                <w:rFonts w:ascii="宋体" w:hAnsi="宋体" w:eastAsia="宋体" w:cs="宋体"/>
                <w:sz w:val="24"/>
              </w:rPr>
            </w:pPr>
            <w:r>
              <w:rPr>
                <w:rFonts w:hint="eastAsia" w:ascii="宋体" w:hAnsi="宋体" w:eastAsia="宋体" w:cs="宋体"/>
                <w:sz w:val="24"/>
              </w:rPr>
              <w:t>贫困户贷款贴息项目</w:t>
            </w:r>
          </w:p>
        </w:tc>
        <w:tc>
          <w:tcPr>
            <w:tcW w:w="993" w:type="pct"/>
            <w:tcBorders>
              <w:tl2br w:val="nil"/>
              <w:tr2bl w:val="nil"/>
            </w:tcBorders>
            <w:vAlign w:val="center"/>
          </w:tcPr>
          <w:p>
            <w:pPr>
              <w:widowControl/>
              <w:jc w:val="center"/>
              <w:rPr>
                <w:rFonts w:hint="eastAsia" w:ascii="宋体" w:hAnsi="宋体" w:eastAsia="宋体" w:cs="宋体"/>
                <w:sz w:val="24"/>
              </w:rPr>
            </w:pPr>
            <w:r>
              <w:rPr>
                <w:rFonts w:hint="eastAsia" w:ascii="宋体" w:hAnsi="宋体" w:eastAsia="宋体" w:cs="宋体"/>
                <w:sz w:val="24"/>
                <w:lang w:val="en-US" w:eastAsia="zh-CN"/>
              </w:rPr>
              <w:t>89.8</w:t>
            </w:r>
          </w:p>
        </w:tc>
        <w:tc>
          <w:tcPr>
            <w:tcW w:w="993" w:type="pct"/>
            <w:tcBorders>
              <w:tl2br w:val="nil"/>
              <w:tr2bl w:val="nil"/>
            </w:tcBorders>
            <w:vAlign w:val="center"/>
          </w:tcPr>
          <w:p>
            <w:pPr>
              <w:pStyle w:val="42"/>
              <w:spacing w:line="24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良</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3013" w:type="pct"/>
            <w:gridSpan w:val="2"/>
            <w:tcBorders>
              <w:tl2br w:val="nil"/>
              <w:tr2bl w:val="nil"/>
            </w:tcBorders>
            <w:vAlign w:val="center"/>
          </w:tcPr>
          <w:p>
            <w:pPr>
              <w:widowControl/>
              <w:jc w:val="center"/>
              <w:rPr>
                <w:rFonts w:hint="eastAsia" w:ascii="宋体" w:hAnsi="宋体" w:eastAsia="宋体" w:cs="宋体"/>
                <w:sz w:val="24"/>
                <w:lang w:val="en-US" w:eastAsia="zh-CN"/>
              </w:rPr>
            </w:pPr>
            <w:bookmarkStart w:id="105" w:name="_Toc31436"/>
            <w:bookmarkStart w:id="106" w:name="_Toc4502"/>
            <w:bookmarkStart w:id="107" w:name="_Toc17269"/>
            <w:r>
              <w:rPr>
                <w:rFonts w:hint="eastAsia" w:ascii="宋体" w:hAnsi="宋体" w:eastAsia="宋体" w:cs="宋体"/>
                <w:sz w:val="24"/>
                <w:lang w:val="en-US" w:eastAsia="zh-CN"/>
              </w:rPr>
              <w:t>加权平均得分</w:t>
            </w:r>
          </w:p>
        </w:tc>
        <w:tc>
          <w:tcPr>
            <w:tcW w:w="993" w:type="pct"/>
            <w:tcBorders>
              <w:tl2br w:val="nil"/>
              <w:tr2bl w:val="nil"/>
            </w:tcBorders>
            <w:vAlign w:val="center"/>
          </w:tcPr>
          <w:p>
            <w:pPr>
              <w:widowControl/>
              <w:jc w:val="center"/>
              <w:rPr>
                <w:rFonts w:hint="default" w:ascii="宋体" w:hAnsi="宋体" w:eastAsia="宋体" w:cs="宋体"/>
                <w:sz w:val="24"/>
                <w:lang w:val="en-US" w:eastAsia="zh-CN"/>
              </w:rPr>
            </w:pPr>
            <w:r>
              <w:rPr>
                <w:rFonts w:hint="eastAsia" w:ascii="宋体" w:hAnsi="宋体" w:eastAsia="宋体" w:cs="宋体"/>
                <w:sz w:val="24"/>
                <w:lang w:val="en-US" w:eastAsia="zh-CN"/>
              </w:rPr>
              <w:t>85.77</w:t>
            </w:r>
          </w:p>
        </w:tc>
        <w:tc>
          <w:tcPr>
            <w:tcW w:w="993" w:type="pct"/>
            <w:tcBorders>
              <w:tl2br w:val="nil"/>
              <w:tr2bl w:val="nil"/>
            </w:tcBorders>
            <w:vAlign w:val="center"/>
          </w:tcPr>
          <w:p>
            <w:pPr>
              <w:pStyle w:val="42"/>
              <w:spacing w:line="240" w:lineRule="auto"/>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良</w:t>
            </w:r>
          </w:p>
        </w:tc>
      </w:tr>
    </w:tbl>
    <w:p>
      <w:pPr>
        <w:pStyle w:val="42"/>
        <w:keepNext w:val="0"/>
        <w:keepLines w:val="0"/>
        <w:pageBreakBefore w:val="0"/>
        <w:widowControl w:val="0"/>
        <w:kinsoku/>
        <w:wordWrap/>
        <w:overflowPunct/>
        <w:topLinePunct w:val="0"/>
        <w:autoSpaceDE/>
        <w:autoSpaceDN/>
        <w:bidi w:val="0"/>
        <w:adjustRightInd/>
        <w:snapToGrid/>
        <w:spacing w:before="157" w:beforeLines="50"/>
        <w:ind w:firstLine="560"/>
        <w:textAlignment w:val="auto"/>
        <w:outlineLvl w:val="1"/>
        <w:rPr>
          <w:rFonts w:hint="eastAsia" w:ascii="楷体_GB2312" w:hAnsi="楷体_GB2312" w:eastAsia="楷体_GB2312" w:cs="楷体_GB2312"/>
          <w:b w:val="0"/>
          <w:bCs w:val="0"/>
          <w:lang w:val="en-US" w:eastAsia="zh-CN"/>
        </w:rPr>
      </w:pPr>
      <w:bookmarkStart w:id="108" w:name="_Toc23925"/>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lang w:val="en-US" w:eastAsia="zh-CN"/>
        </w:rPr>
        <w:t>二</w:t>
      </w: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lang w:val="en-US" w:eastAsia="zh-CN"/>
        </w:rPr>
        <w:t>评价结论</w:t>
      </w:r>
      <w:bookmarkEnd w:id="10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theme="minorBidi"/>
          <w:kern w:val="2"/>
          <w:sz w:val="28"/>
          <w:szCs w:val="32"/>
          <w:lang w:val="en-US" w:eastAsia="zh-CN" w:bidi="ar-SA"/>
        </w:rPr>
      </w:pPr>
      <w:r>
        <w:rPr>
          <w:rFonts w:hint="eastAsia" w:ascii="仿宋_GB2312" w:hAnsi="仿宋_GB2312" w:eastAsia="仿宋_GB2312" w:cstheme="minorBidi"/>
          <w:kern w:val="2"/>
          <w:sz w:val="28"/>
          <w:szCs w:val="32"/>
          <w:lang w:val="en-US" w:eastAsia="zh-CN" w:bidi="ar-SA"/>
        </w:rPr>
        <w:t>从现场调研情况看，项目基本按照计划完成了年度工作任务，资金支出严格执行了相关政策规定，改善了人居环境、提升了农民职业素养、培育了致富带头人、推动了相关产业发展、带动了贫困户增收、带动了贫困户的就业。但是存在管理制度不健全、财务监控不足、实施流程不规范、预算执行率低等问题。</w:t>
      </w:r>
    </w:p>
    <w:bookmarkEnd w:id="20"/>
    <w:bookmarkEnd w:id="21"/>
    <w:bookmarkEnd w:id="22"/>
    <w:bookmarkEnd w:id="23"/>
    <w:bookmarkEnd w:id="24"/>
    <w:bookmarkEnd w:id="25"/>
    <w:bookmarkEnd w:id="26"/>
    <w:bookmarkEnd w:id="27"/>
    <w:bookmarkEnd w:id="28"/>
    <w:bookmarkEnd w:id="29"/>
    <w:bookmarkEnd w:id="30"/>
    <w:bookmarkEnd w:id="96"/>
    <w:bookmarkEnd w:id="97"/>
    <w:bookmarkEnd w:id="98"/>
    <w:bookmarkEnd w:id="99"/>
    <w:bookmarkEnd w:id="100"/>
    <w:bookmarkEnd w:id="101"/>
    <w:bookmarkEnd w:id="102"/>
    <w:bookmarkEnd w:id="103"/>
    <w:bookmarkEnd w:id="104"/>
    <w:bookmarkEnd w:id="105"/>
    <w:bookmarkEnd w:id="106"/>
    <w:bookmarkEnd w:id="107"/>
    <w:p>
      <w:pPr>
        <w:pStyle w:val="4"/>
        <w:ind w:firstLine="560"/>
        <w:rPr>
          <w:rFonts w:hint="default" w:ascii="黑体" w:hAnsi="黑体" w:eastAsia="黑体" w:cs="黑体"/>
          <w:b/>
          <w:bCs/>
          <w:szCs w:val="28"/>
          <w:lang w:val="en-US" w:eastAsia="zh-CN"/>
        </w:rPr>
      </w:pPr>
      <w:bookmarkStart w:id="109" w:name="_Toc18564"/>
      <w:bookmarkStart w:id="110" w:name="_Toc19456"/>
      <w:bookmarkStart w:id="111" w:name="_Toc2635"/>
      <w:r>
        <w:rPr>
          <w:rFonts w:hint="eastAsia"/>
          <w:lang w:val="en-US" w:eastAsia="zh-CN"/>
        </w:rPr>
        <w:t>四</w:t>
      </w:r>
      <w:r>
        <w:rPr>
          <w:rFonts w:hint="eastAsia"/>
        </w:rPr>
        <w:t>、</w:t>
      </w:r>
      <w:bookmarkEnd w:id="109"/>
      <w:bookmarkEnd w:id="110"/>
      <w:bookmarkEnd w:id="111"/>
      <w:r>
        <w:rPr>
          <w:rFonts w:hint="eastAsia"/>
          <w:lang w:val="en-US" w:eastAsia="zh-CN"/>
        </w:rPr>
        <w:t>存在的问题</w:t>
      </w:r>
    </w:p>
    <w:p>
      <w:pPr>
        <w:pStyle w:val="5"/>
        <w:ind w:firstLine="560"/>
      </w:pPr>
      <w:bookmarkStart w:id="112" w:name="_Toc606"/>
      <w:bookmarkStart w:id="113" w:name="_Toc22523"/>
      <w:bookmarkStart w:id="114" w:name="_Toc6673"/>
      <w:bookmarkStart w:id="115" w:name="_Toc28844"/>
      <w:bookmarkStart w:id="116" w:name="_Toc31995"/>
      <w:r>
        <w:rPr>
          <w:rFonts w:hint="eastAsia"/>
        </w:rPr>
        <w:t>（一）</w:t>
      </w:r>
      <w:bookmarkEnd w:id="112"/>
      <w:bookmarkEnd w:id="113"/>
      <w:r>
        <w:rPr>
          <w:rFonts w:hint="eastAsia"/>
        </w:rPr>
        <w:t>项目管理制度有待健全</w:t>
      </w:r>
      <w:bookmarkEnd w:id="114"/>
    </w:p>
    <w:p>
      <w:pPr>
        <w:spacing w:line="360" w:lineRule="auto"/>
        <w:ind w:firstLine="560" w:firstLineChars="200"/>
        <w:jc w:val="both"/>
        <w:rPr>
          <w:rFonts w:ascii="仿宋_GB2312" w:hAnsi="仿宋_GB2312" w:eastAsia="仿宋_GB2312" w:cs="仿宋_GB2312"/>
          <w:sz w:val="28"/>
          <w:szCs w:val="28"/>
        </w:rPr>
      </w:pPr>
      <w:bookmarkStart w:id="117" w:name="_Toc18082"/>
      <w:bookmarkStart w:id="118" w:name="_Toc30707"/>
      <w:r>
        <w:rPr>
          <w:rFonts w:hint="eastAsia" w:ascii="仿宋_GB2312" w:hAnsi="仿宋_GB2312" w:eastAsia="仿宋_GB2312" w:cs="仿宋_GB2312"/>
          <w:sz w:val="28"/>
          <w:szCs w:val="28"/>
        </w:rPr>
        <w:t>一是部分项目未制定针对性的管理制度，主要包括：各乡镇食用菌菌棒补贴项目、建档立卡贫困户产业帮扶项目、农村第一书记和驻村工作队产业帮扶项目未制定明确具体的项目管理制度，对于项目的目标任务要求、组织人员安排，具体实施流程，监督检查措施等均未有明确的要求。</w:t>
      </w:r>
    </w:p>
    <w:p>
      <w:pPr>
        <w:pStyle w:val="2"/>
        <w:spacing w:before="0"/>
        <w:ind w:firstLine="560" w:firstLineChars="200"/>
        <w:jc w:val="both"/>
        <w:rPr>
          <w:rFonts w:ascii="仿宋_GB2312" w:hAnsi="仿宋_GB2312" w:eastAsia="仿宋_GB2312" w:cs="仿宋_GB2312"/>
          <w:szCs w:val="28"/>
        </w:rPr>
      </w:pPr>
      <w:r>
        <w:rPr>
          <w:rFonts w:hint="eastAsia" w:ascii="仿宋_GB2312" w:hAnsi="仿宋_GB2312" w:eastAsia="仿宋_GB2312" w:cs="仿宋_GB2312"/>
          <w:szCs w:val="28"/>
        </w:rPr>
        <w:t>二是部分项目采用上级政策文件进行管理，未结合实际情况细化管理办法，主要包括以下项目：</w:t>
      </w:r>
    </w:p>
    <w:p>
      <w:pPr>
        <w:pStyle w:val="2"/>
        <w:spacing w:before="0"/>
        <w:ind w:firstLine="560" w:firstLineChars="200"/>
        <w:jc w:val="both"/>
        <w:rPr>
          <w:rFonts w:ascii="仿宋_GB2312" w:hAnsi="仿宋_GB2312" w:eastAsia="仿宋_GB2312" w:cs="仿宋_GB2312"/>
          <w:szCs w:val="28"/>
        </w:rPr>
      </w:pPr>
      <w:r>
        <w:rPr>
          <w:rFonts w:hint="eastAsia" w:ascii="仿宋_GB2312" w:hAnsi="仿宋_GB2312" w:eastAsia="仿宋_GB2312" w:cs="仿宋_GB2312"/>
          <w:szCs w:val="28"/>
        </w:rPr>
        <w:t>1.三自一带和双扶工程奖补项目各乡镇按照县委《关于鼓励支持贫困户“三自一带”奖补的实施意见》（宁发〔2018〕37号）文件进行实施，各乡镇都以会议形式通过了补贴资金分配到村的具体数额，仅有部分乡镇如涔山乡、余庄乡、西马坊乡根据乡镇实际情况，结合实施意见，制定了项目具体实施方案，明确了目标任务、扶持对象、扶持措施、奖补程序、工作要求等。</w:t>
      </w:r>
    </w:p>
    <w:p>
      <w:pPr>
        <w:pStyle w:val="2"/>
        <w:spacing w:before="0"/>
        <w:ind w:firstLine="560" w:firstLineChars="200"/>
        <w:jc w:val="both"/>
        <w:rPr>
          <w:rFonts w:ascii="仿宋_GB2312" w:hAnsi="仿宋_GB2312" w:eastAsia="仿宋_GB2312" w:cs="仿宋_GB2312"/>
          <w:szCs w:val="28"/>
        </w:rPr>
      </w:pPr>
      <w:r>
        <w:rPr>
          <w:rFonts w:hint="eastAsia" w:ascii="仿宋_GB2312" w:hAnsi="仿宋_GB2312" w:eastAsia="仿宋_GB2312" w:cs="仿宋_GB2312"/>
          <w:szCs w:val="28"/>
        </w:rPr>
        <w:t>2.贫困户贷款贴息项目按照山西省脱贫攻坚领导小组关于印发《山西省扶贫小额信贷实施意见》《山西省扶贫小额信贷考核办法》的通知（晋脱贫攻坚组〔2017〕33号）文件进行管理，但未按照《山西省扶贫小额信贷考核办法》要求出台具体实施方案（细则、办法等）。</w:t>
      </w:r>
    </w:p>
    <w:p>
      <w:pPr>
        <w:pStyle w:val="5"/>
        <w:keepNext w:val="0"/>
        <w:ind w:firstLine="560"/>
      </w:pPr>
      <w:bookmarkStart w:id="119" w:name="_Toc24062"/>
      <w:r>
        <w:rPr>
          <w:rFonts w:hint="eastAsia"/>
        </w:rPr>
        <w:t>（二）</w:t>
      </w:r>
      <w:bookmarkEnd w:id="117"/>
      <w:bookmarkEnd w:id="118"/>
      <w:r>
        <w:rPr>
          <w:rFonts w:hint="eastAsia"/>
        </w:rPr>
        <w:t>财务监控有效性不足</w:t>
      </w:r>
      <w:bookmarkEnd w:id="119"/>
    </w:p>
    <w:p>
      <w:pPr>
        <w:pStyle w:val="42"/>
        <w:ind w:firstLine="560"/>
      </w:pPr>
      <w:bookmarkStart w:id="120" w:name="_Toc15690"/>
      <w:bookmarkStart w:id="121" w:name="_Toc32061"/>
      <w:r>
        <w:rPr>
          <w:rFonts w:hint="eastAsia"/>
        </w:rPr>
        <w:t>宁武县扶贫开发办公室主管的8个项目</w:t>
      </w:r>
      <w:r>
        <w:rPr>
          <w:rFonts w:hint="eastAsia"/>
          <w:lang w:eastAsia="zh-CN"/>
        </w:rPr>
        <w:t>，</w:t>
      </w:r>
      <w:r>
        <w:rPr>
          <w:rFonts w:hint="eastAsia"/>
        </w:rPr>
        <w:t>其中4个为扶贫中心具体实施，有相应的报账资料审核要求且进行了相应的检查，其余4个项目资金拨付至各乡镇后，由各乡镇负责资金的支出和审批。对于</w:t>
      </w:r>
      <w:r>
        <w:rPr>
          <w:rFonts w:hint="eastAsia" w:cs="仿宋_GB2312"/>
          <w:szCs w:val="28"/>
        </w:rPr>
        <w:t>各乡镇食用菌菌棒补贴项目、建档立卡贫困户产业帮扶项目和农村第一书记和驻村工作队产业帮扶项目，涉及多个乡镇，每个乡镇又涉及1个或2个合作社，在项目资金</w:t>
      </w:r>
      <w:r>
        <w:rPr>
          <w:rFonts w:hint="eastAsia"/>
        </w:rPr>
        <w:t>拨付至相关合作社后，各乡镇对资金使用的监控性不足，对于资金流向、使用效益了解程度不高；对于三自一带项目支出资金，主要是以各村委审核申请人的条件是否符合为主，大部分乡镇仅有补贴发放名单，对于申请材料的完整性、合规性检查力度不够，部分村内相关的申请材料也未妥善保存，存在申请资料遗漏丢失的现象。</w:t>
      </w:r>
    </w:p>
    <w:bookmarkEnd w:id="120"/>
    <w:bookmarkEnd w:id="121"/>
    <w:p>
      <w:pPr>
        <w:pStyle w:val="5"/>
        <w:ind w:firstLine="560"/>
      </w:pPr>
      <w:bookmarkStart w:id="122" w:name="_Toc17072"/>
      <w:r>
        <w:rPr>
          <w:rFonts w:hint="eastAsia"/>
        </w:rPr>
        <w:t>（三）个别项目实施流程待完善</w:t>
      </w:r>
      <w:bookmarkEnd w:id="122"/>
    </w:p>
    <w:p>
      <w:pPr>
        <w:pStyle w:val="2"/>
        <w:spacing w:before="0"/>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创业致富带头人培训项目是按照山西省扶贫开发办公室关于印发《山西省贫困村创业致富带头人培育实施方案》的通知（晋开发办〔2017〕41号）以及忻州市扶贫开发办公室关于印发《忻州市贫困村创业致富带头人培育实施方案》的通知（忻扶开〔2017〕31号）文件进行实施，文件要求建立长效机制，做好跟踪孵化服务，而实际仅以培训工作为主，对于培训对象申报的创业项目、带贫方式、带贫成果等无后续跟进和检查，对于项目实施效果的监督检查和创业项目的扶持工作并未有效执行。</w:t>
      </w:r>
    </w:p>
    <w:p>
      <w:pPr>
        <w:pStyle w:val="2"/>
        <w:spacing w:before="0"/>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各乡镇食用菌菌棒补贴项目</w:t>
      </w:r>
      <w:r>
        <w:rPr>
          <w:rFonts w:hint="eastAsia" w:cs="仿宋_GB2312"/>
          <w:szCs w:val="28"/>
        </w:rPr>
        <w:t>、</w:t>
      </w:r>
      <w:r>
        <w:rPr>
          <w:rFonts w:hint="eastAsia" w:ascii="仿宋_GB2312" w:hAnsi="仿宋_GB2312" w:eastAsia="仿宋_GB2312" w:cs="仿宋_GB2312"/>
          <w:szCs w:val="28"/>
        </w:rPr>
        <w:t>建档立卡贫困户产业帮扶项目</w:t>
      </w:r>
      <w:r>
        <w:rPr>
          <w:rFonts w:hint="eastAsia" w:cs="仿宋_GB2312"/>
          <w:szCs w:val="28"/>
        </w:rPr>
        <w:t>和</w:t>
      </w:r>
      <w:r>
        <w:rPr>
          <w:rFonts w:hint="eastAsia" w:ascii="仿宋_GB2312" w:hAnsi="仿宋_GB2312" w:eastAsia="仿宋_GB2312" w:cs="仿宋_GB2312"/>
          <w:szCs w:val="28"/>
        </w:rPr>
        <w:t>农村第一书记和驻村工作队产业帮扶项目，各乡镇在资金拨付至村委或合作社后，对于项目的监督力度不够，对于项目实施的成果未进行验收，产生的效果未进行跟踪了解。</w:t>
      </w:r>
    </w:p>
    <w:p>
      <w:pPr>
        <w:pStyle w:val="5"/>
        <w:ind w:firstLine="560"/>
      </w:pPr>
      <w:bookmarkStart w:id="123" w:name="_Toc9373"/>
      <w:r>
        <w:rPr>
          <w:rFonts w:hint="eastAsia"/>
        </w:rPr>
        <w:t>（四）个别项目预算执行较低</w:t>
      </w:r>
      <w:bookmarkEnd w:id="123"/>
    </w:p>
    <w:p>
      <w:pPr>
        <w:pStyle w:val="42"/>
        <w:ind w:firstLine="560"/>
      </w:pPr>
      <w:r>
        <w:rPr>
          <w:rFonts w:hint="eastAsia"/>
        </w:rPr>
        <w:t>一是农业实用技术培训项目预算80.5万元，</w:t>
      </w:r>
      <w:r>
        <w:rPr>
          <w:rFonts w:hint="eastAsia"/>
          <w:lang w:eastAsia="zh-CN"/>
        </w:rPr>
        <w:t>截至</w:t>
      </w:r>
      <w:r>
        <w:rPr>
          <w:rFonts w:hint="eastAsia"/>
        </w:rPr>
        <w:t>2020年12月31日，实际拨付至项目实施单位资金为22.85万元，预算执行率为28.39%。二是贫困户贷款贴息项目预算1000万元，</w:t>
      </w:r>
      <w:r>
        <w:rPr>
          <w:rFonts w:hint="eastAsia"/>
          <w:lang w:eastAsia="zh-CN"/>
        </w:rPr>
        <w:t>截至</w:t>
      </w:r>
      <w:r>
        <w:rPr>
          <w:rFonts w:hint="eastAsia"/>
        </w:rPr>
        <w:t>2020年12月31日，实际发放贴息资金840.95万元，预算执行率为84.10%。</w:t>
      </w:r>
    </w:p>
    <w:p>
      <w:pPr>
        <w:pStyle w:val="5"/>
        <w:ind w:firstLine="560"/>
      </w:pPr>
      <w:bookmarkStart w:id="124" w:name="_Toc10875"/>
      <w:r>
        <w:rPr>
          <w:rFonts w:hint="eastAsia"/>
        </w:rPr>
        <w:t>（五）个别项目效益未在年内实现</w:t>
      </w:r>
      <w:bookmarkEnd w:id="124"/>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农村第一书记和驻村工作队产业帮扶项目资金下达至各乡镇时间为2020年10月，各乡镇将资金拨付至各产业相关合作社时间大部分为2020年12月，对于带动产业发展和促进贫困户增收的效益基本不能在2020年体现。</w:t>
      </w:r>
    </w:p>
    <w:p>
      <w:pPr>
        <w:pStyle w:val="4"/>
        <w:ind w:firstLine="560"/>
        <w:rPr>
          <w:rFonts w:ascii="黑体" w:hAnsi="黑体" w:cs="黑体"/>
          <w:b/>
          <w:bCs/>
          <w:szCs w:val="28"/>
        </w:rPr>
      </w:pPr>
      <w:bookmarkStart w:id="125" w:name="_Toc17117"/>
      <w:bookmarkStart w:id="126" w:name="_Toc1196"/>
      <w:r>
        <w:rPr>
          <w:rFonts w:hint="eastAsia"/>
          <w:lang w:val="en-US" w:eastAsia="zh-CN"/>
        </w:rPr>
        <w:t>五</w:t>
      </w:r>
      <w:r>
        <w:rPr>
          <w:rFonts w:hint="eastAsia"/>
        </w:rPr>
        <w:t>、相关建议</w:t>
      </w:r>
      <w:bookmarkEnd w:id="115"/>
      <w:bookmarkEnd w:id="116"/>
      <w:bookmarkEnd w:id="125"/>
      <w:bookmarkEnd w:id="126"/>
    </w:p>
    <w:p>
      <w:pPr>
        <w:pStyle w:val="5"/>
        <w:ind w:firstLine="560"/>
      </w:pPr>
      <w:bookmarkStart w:id="127" w:name="_Toc5069"/>
      <w:bookmarkStart w:id="128" w:name="_Toc28445"/>
      <w:bookmarkStart w:id="129" w:name="_Toc13555"/>
      <w:bookmarkStart w:id="130" w:name="_Toc18093"/>
      <w:bookmarkStart w:id="131" w:name="_Toc11540"/>
      <w:bookmarkStart w:id="132" w:name="_Toc29007"/>
      <w:bookmarkStart w:id="133" w:name="_Toc14528"/>
      <w:bookmarkStart w:id="134" w:name="_Toc20737"/>
      <w:bookmarkStart w:id="135" w:name="_Toc4535"/>
      <w:bookmarkStart w:id="136" w:name="_Toc20904"/>
      <w:bookmarkStart w:id="137" w:name="_Toc2108"/>
      <w:bookmarkStart w:id="138" w:name="_Toc19852"/>
      <w:bookmarkStart w:id="139" w:name="_Toc7951"/>
      <w:bookmarkStart w:id="140" w:name="_Toc15889"/>
      <w:bookmarkStart w:id="141" w:name="_Toc32134"/>
      <w:bookmarkStart w:id="142" w:name="_Toc31406"/>
      <w:bookmarkStart w:id="143" w:name="_Toc15513"/>
      <w:bookmarkStart w:id="144" w:name="_Toc10501"/>
      <w:bookmarkStart w:id="145" w:name="_Toc19564"/>
      <w:r>
        <w:rPr>
          <w:rFonts w:hint="eastAsia"/>
        </w:rPr>
        <w:t>（一）</w:t>
      </w:r>
      <w:bookmarkEnd w:id="127"/>
      <w:bookmarkEnd w:id="128"/>
      <w:bookmarkStart w:id="146" w:name="_Toc16522"/>
      <w:bookmarkStart w:id="147" w:name="_Toc14887"/>
      <w:r>
        <w:rPr>
          <w:rFonts w:hint="eastAsia"/>
        </w:rPr>
        <w:t>建立健全项目管理制度</w:t>
      </w:r>
      <w:bookmarkEnd w:id="129"/>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是针对各乡镇食用菌菌棒补贴项目、建档立卡贫困户产业帮扶项目、农村第一书记和驻村工作队产业帮扶项目建立具体明确的项目管理制度，主要包括项目的目标任务要求、组织人员安排，具体实施流程，监督检查措施，项目验收，档案管理等方面的内容，从制度上规范各乡镇的实施过程，确保项目效益。</w:t>
      </w:r>
    </w:p>
    <w:p>
      <w:pPr>
        <w:pStyle w:val="2"/>
        <w:spacing w:before="0"/>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二是各乡镇应按照县委《关于鼓励支持贫困户“三自一带”奖补的实施意见》（宁发〔2018〕37号）文件精神，结合本地区实际，按照资金规模，制定三自一带和双扶工程奖补项目的实施方案或管理办法，明确目标任务、扶持对象、扶持措施、奖补程序、资格审查要求等。</w:t>
      </w:r>
    </w:p>
    <w:p>
      <w:pPr>
        <w:pStyle w:val="2"/>
        <w:spacing w:before="0"/>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三是根据上级政策文件精神，结合本地区实际情况，制定贫困户贷款贴息项目监督管理办法，主要包括贫困户实名制管理要求，贷款对象、条件和使用要求，贷款额度、期限和利率的确定，贷款程序，结息方式及还款方式，贷后监督管理要求，风险补偿与风险控制机制，贷款贴息与资金拨付要求，职责分工及监督检查责任，激励与约束机制等方面的内容，按照“政府统筹协调，贫困户自愿申请，村乡县依次联审”的原则，加强管理，推动扶贫小额信贷工作规范开展，助力贫困户脱贫致富。</w:t>
      </w:r>
    </w:p>
    <w:p>
      <w:pPr>
        <w:pStyle w:val="5"/>
        <w:ind w:firstLine="560"/>
      </w:pPr>
      <w:bookmarkStart w:id="148" w:name="_Toc16754"/>
      <w:r>
        <w:rPr>
          <w:rFonts w:hint="eastAsia"/>
        </w:rPr>
        <w:t>（二）</w:t>
      </w:r>
      <w:bookmarkEnd w:id="146"/>
      <w:bookmarkEnd w:id="147"/>
      <w:bookmarkStart w:id="149" w:name="_Toc58510926"/>
      <w:r>
        <w:rPr>
          <w:rFonts w:hint="eastAsia"/>
        </w:rPr>
        <w:t>加强</w:t>
      </w:r>
      <w:bookmarkEnd w:id="149"/>
      <w:bookmarkStart w:id="150" w:name="_Toc15364"/>
      <w:bookmarkStart w:id="151" w:name="_Toc1381"/>
      <w:bookmarkStart w:id="152" w:name="_Toc27211"/>
      <w:bookmarkStart w:id="153" w:name="_Toc4151"/>
      <w:bookmarkStart w:id="154" w:name="_Toc14941"/>
      <w:bookmarkStart w:id="155" w:name="_Toc20584"/>
      <w:r>
        <w:rPr>
          <w:rFonts w:hint="eastAsia"/>
        </w:rPr>
        <w:t>资金监管力度</w:t>
      </w:r>
      <w:bookmarkEnd w:id="148"/>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建立</w:t>
      </w:r>
      <w:r>
        <w:rPr>
          <w:rFonts w:hint="eastAsia" w:ascii="仿宋_GB2312" w:hAnsi="仿宋_GB2312" w:eastAsia="仿宋_GB2312" w:cs="仿宋_GB2312"/>
          <w:sz w:val="28"/>
          <w:szCs w:val="28"/>
        </w:rPr>
        <w:t>和</w:t>
      </w:r>
      <w:r>
        <w:rPr>
          <w:rFonts w:ascii="仿宋_GB2312" w:hAnsi="仿宋_GB2312" w:eastAsia="仿宋_GB2312" w:cs="仿宋_GB2312"/>
          <w:sz w:val="28"/>
          <w:szCs w:val="28"/>
        </w:rPr>
        <w:t>完善扶贫项目绩效目标执行监控机制。加强全过程监控，把事前审核、事中控制和事后检查有机地结合起来，对扶贫资金运行实行全程监控</w:t>
      </w:r>
      <w:r>
        <w:rPr>
          <w:rFonts w:hint="eastAsia" w:ascii="仿宋_GB2312" w:hAnsi="仿宋_GB2312" w:eastAsia="仿宋_GB2312" w:cs="仿宋_GB2312"/>
          <w:sz w:val="28"/>
          <w:szCs w:val="28"/>
        </w:rPr>
        <w:t>，进行追踪问效，对实施项目的村、合作社进行跟踪检查，了解资金使用情况、项目开展进度、实际产出和取得效益情况，深入开展好扶贫资金绩效管理工作，并将跟踪检查结果作为专项资金安排的重要依据，提高资金使用绩效。</w:t>
      </w:r>
    </w:p>
    <w:p>
      <w:pPr>
        <w:pStyle w:val="5"/>
        <w:ind w:firstLine="560"/>
      </w:pPr>
      <w:bookmarkStart w:id="156" w:name="_Toc30306"/>
      <w:r>
        <w:rPr>
          <w:rFonts w:hint="eastAsia"/>
        </w:rPr>
        <w:t>（三）</w:t>
      </w:r>
      <w:bookmarkEnd w:id="150"/>
      <w:bookmarkEnd w:id="151"/>
      <w:bookmarkEnd w:id="152"/>
      <w:bookmarkEnd w:id="153"/>
      <w:bookmarkEnd w:id="154"/>
      <w:bookmarkEnd w:id="155"/>
      <w:r>
        <w:rPr>
          <w:rFonts w:hint="eastAsia"/>
        </w:rPr>
        <w:t>完善项目实施流程</w:t>
      </w:r>
      <w:bookmarkEnd w:id="156"/>
      <w:bookmarkStart w:id="157" w:name="_Toc6266"/>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立创业致富带头人培训项目长效管理机制。加强对培训对象的跟踪服务工作，组织创业导师团队开展跟踪孵化服务，为创业致富带头人提供便捷可靠、优惠宽松的融资产品，支持其发展产业项目；定期加强对创业带头人带动情况的监督检查，对其目标责任书的承诺兑现情况进行客观评价，填写评价验收表，评价结果作为继续扶持的依据；建立全过程管理机制，及时采集创业致富带头人参加培训、跟踪辅导、创办企业、实施项目、政策扶持情况，以及带贫人数、带贫方式、带动效果等信息，录入全国扶贫开发信息系统。坚持每年进行动态调整，促进管理工作可持续发展。</w:t>
      </w:r>
    </w:p>
    <w:p>
      <w:pPr>
        <w:pStyle w:val="5"/>
        <w:ind w:firstLine="560"/>
      </w:pPr>
      <w:bookmarkStart w:id="158" w:name="_Toc57"/>
      <w:r>
        <w:rPr>
          <w:rFonts w:hint="eastAsia"/>
        </w:rPr>
        <w:t>（四）</w:t>
      </w:r>
      <w:bookmarkEnd w:id="157"/>
      <w:r>
        <w:rPr>
          <w:rFonts w:hint="eastAsia"/>
        </w:rPr>
        <w:t>加快预算执行进度</w:t>
      </w:r>
      <w:bookmarkEnd w:id="158"/>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于个别项目预算支出进度较低的问题，建议主管部门提早谋划，制定项目实施方案，科学安排项目实施计划，合理安排项目招投标、实施、验收、审计结算等各项工作所需时间，明确时限要求和工作节点，倒排支出时间表，重要节点动态控制，重点环节专人督办，确保预算在本年内执行到位。</w:t>
      </w:r>
      <w:bookmarkStart w:id="159" w:name="_Toc20315"/>
    </w:p>
    <w:p>
      <w:pPr>
        <w:pStyle w:val="5"/>
        <w:ind w:firstLine="560"/>
      </w:pPr>
      <w:bookmarkStart w:id="160" w:name="_Toc236"/>
      <w:r>
        <w:rPr>
          <w:rFonts w:hint="eastAsia"/>
        </w:rPr>
        <w:t>（五）加快资金下达落实</w:t>
      </w:r>
      <w:bookmarkEnd w:id="160"/>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能否尽早发挥效益，与资金下达时间密切相关。针对个别项目资金下达时间晚、发挥效益迟的现象，建议主管部门积极对接财政部门，协商统筹整合资金预算指标的分配，加快资金审批流程，保证各项资金按时拨付到位，确保项目实施进度，并早日发挥带贫效益。</w:t>
      </w: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59"/>
    <w:p>
      <w:pPr>
        <w:pStyle w:val="2"/>
        <w:tabs>
          <w:tab w:val="left" w:pos="838"/>
        </w:tabs>
        <w:rPr>
          <w:rFonts w:ascii="仿宋_GB2312" w:hAnsi="仿宋_GB2312" w:eastAsia="仿宋_GB2312" w:cs="仿宋_GB2312"/>
          <w:szCs w:val="36"/>
        </w:rPr>
      </w:pPr>
    </w:p>
    <w:sectPr>
      <w:headerReference r:id="rId5" w:type="default"/>
      <w:footerReference r:id="rId6"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016"/>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8"/>
      </w:rPr>
      <mc:AlternateContent>
        <mc:Choice Requires="wps">
          <w:drawing>
            <wp:anchor distT="0" distB="0" distL="114300" distR="114300" simplePos="0" relativeHeight="251659264" behindDoc="0" locked="0" layoutInCell="1" allowOverlap="1">
              <wp:simplePos x="0" y="0"/>
              <wp:positionH relativeFrom="margin">
                <wp:posOffset>2673985</wp:posOffset>
              </wp:positionH>
              <wp:positionV relativeFrom="paragraph">
                <wp:posOffset>-191770</wp:posOffset>
              </wp:positionV>
              <wp:extent cx="3657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5760" cy="1828800"/>
                      </a:xfrm>
                      <a:prstGeom prst="rect">
                        <a:avLst/>
                      </a:prstGeom>
                      <a:noFill/>
                      <a:ln w="38100">
                        <a:noFill/>
                      </a:ln>
                    </wps:spPr>
                    <wps:txbx>
                      <w:txbxContent>
                        <w:p>
                          <w:pPr>
                            <w:pStyle w:val="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p>
                      </w:txbxContent>
                    </wps:txbx>
                    <wps:bodyPr wrap="square" lIns="0" tIns="0" rIns="0" bIns="0">
                      <a:spAutoFit/>
                    </wps:bodyPr>
                  </wps:wsp>
                </a:graphicData>
              </a:graphic>
            </wp:anchor>
          </w:drawing>
        </mc:Choice>
        <mc:Fallback>
          <w:pict>
            <v:shape id="_x0000_s1026" o:spid="_x0000_s1026" o:spt="202" type="#_x0000_t202" style="position:absolute;left:0pt;margin-left:210.55pt;margin-top:-15.1pt;height:144pt;width:28.8pt;mso-position-horizontal-relative:margin;z-index:251659264;mso-width-relative:page;mso-height-relative:page;" filled="f" stroked="f" coordsize="21600,21600" o:gfxdata="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Zu/NbbAAAACwEAAA8AAAAAAAAAAQAgAAAA&#10;IgAAAGRycy9kb3ducmV2LnhtbFBLAQIUABQAAAAIAIdO4kDigYekzwEAAJgDAAAOAAAAAAAAAAEA&#10;IAAAACoBAABkcnMvZTJvRG9jLnhtbFBLBQYAAAAABgAGAFkBAABrBQAAAAA=&#10;">
              <v:fill on="f" focussize="0,0"/>
              <v:stroke on="f" weight="3pt"/>
              <v:imagedata o:title=""/>
              <o:lock v:ext="edit" aspectratio="f"/>
              <v:textbox inset="0mm,0mm,0mm,0mm" style="mso-fit-shape-to-text:t;">
                <w:txbxContent>
                  <w:p>
                    <w:pPr>
                      <w:pStyle w:val="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keepNext w:val="0"/>
      <w:keepLines w:val="0"/>
      <w:pageBreakBefore w:val="0"/>
      <w:widowControl/>
      <w:pBdr>
        <w:bottom w:val="single" w:color="auto" w:sz="4" w:space="0"/>
      </w:pBdr>
      <w:kinsoku/>
      <w:wordWrap/>
      <w:overflowPunct/>
      <w:topLinePunct w:val="0"/>
      <w:autoSpaceDE/>
      <w:autoSpaceDN/>
      <w:bidi w:val="0"/>
      <w:adjustRightInd/>
      <w:snapToGrid/>
      <w:spacing w:after="0" w:afterLines="0"/>
      <w:jc w:val="both"/>
      <w:textAlignment w:val="auto"/>
    </w:pPr>
    <w:r>
      <w:rPr>
        <w:rFonts w:hint="eastAsia" w:ascii="宋体" w:hAnsi="宋体" w:eastAsia="宋体" w:cs="宋体"/>
        <w:sz w:val="22"/>
        <w:szCs w:val="22"/>
      </w:rP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rPr>
      <w:t>宁武县扶贫开发办公室2020年统筹整合财政资金</w:t>
    </w:r>
    <w:r>
      <w:rPr>
        <w:rFonts w:hint="eastAsia" w:ascii="宋体" w:hAnsi="宋体" w:eastAsia="宋体" w:cs="宋体"/>
        <w:sz w:val="22"/>
        <w:szCs w:val="22"/>
        <w:lang w:val="en-US" w:eastAsia="zh-CN"/>
      </w:rPr>
      <w:t>绩效评价报告</w:t>
    </w:r>
    <w:r>
      <w:rPr>
        <w:rFonts w:hint="eastAsia" w:ascii="宋体" w:hAnsi="宋体" w:eastAsia="宋体" w:cs="宋体"/>
        <w:sz w:val="24"/>
        <w:szCs w:val="24"/>
        <w:lang w:val="en-US" w:eastAsia="zh-CN"/>
      </w:rPr>
      <w:t xml:space="preserve">                   </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yNDMxYzRhOGEyODg4MDM5MWE5MDNmYTZhYmQwOGMifQ=="/>
  </w:docVars>
  <w:rsids>
    <w:rsidRoot w:val="347E05B5"/>
    <w:rsid w:val="00017078"/>
    <w:rsid w:val="000B2CD0"/>
    <w:rsid w:val="000F72FE"/>
    <w:rsid w:val="00107F25"/>
    <w:rsid w:val="001609AA"/>
    <w:rsid w:val="00190485"/>
    <w:rsid w:val="00191600"/>
    <w:rsid w:val="001A04A9"/>
    <w:rsid w:val="002B071E"/>
    <w:rsid w:val="002B6861"/>
    <w:rsid w:val="002C0BB1"/>
    <w:rsid w:val="002C3266"/>
    <w:rsid w:val="002E2C51"/>
    <w:rsid w:val="003112F7"/>
    <w:rsid w:val="00326A4B"/>
    <w:rsid w:val="00334C70"/>
    <w:rsid w:val="003A77CE"/>
    <w:rsid w:val="003B37BF"/>
    <w:rsid w:val="003C10A2"/>
    <w:rsid w:val="003E1CFE"/>
    <w:rsid w:val="004446D4"/>
    <w:rsid w:val="00494EF5"/>
    <w:rsid w:val="00515E4A"/>
    <w:rsid w:val="00552D93"/>
    <w:rsid w:val="005B2B26"/>
    <w:rsid w:val="005B6C64"/>
    <w:rsid w:val="00617DA1"/>
    <w:rsid w:val="0062140B"/>
    <w:rsid w:val="00621E01"/>
    <w:rsid w:val="00752888"/>
    <w:rsid w:val="007A4EBA"/>
    <w:rsid w:val="00815339"/>
    <w:rsid w:val="00897076"/>
    <w:rsid w:val="009E42DC"/>
    <w:rsid w:val="00A25BAB"/>
    <w:rsid w:val="00A3520D"/>
    <w:rsid w:val="00AF0D94"/>
    <w:rsid w:val="00B34CA1"/>
    <w:rsid w:val="00B65721"/>
    <w:rsid w:val="00BA6130"/>
    <w:rsid w:val="00BD7DDD"/>
    <w:rsid w:val="00C101BE"/>
    <w:rsid w:val="00C4165E"/>
    <w:rsid w:val="00C81EC7"/>
    <w:rsid w:val="00CB08FB"/>
    <w:rsid w:val="00CE75FE"/>
    <w:rsid w:val="00D87F15"/>
    <w:rsid w:val="00DA3E8D"/>
    <w:rsid w:val="00E22DC2"/>
    <w:rsid w:val="00E7444D"/>
    <w:rsid w:val="00EA3050"/>
    <w:rsid w:val="00ED17FA"/>
    <w:rsid w:val="00EE6D00"/>
    <w:rsid w:val="00EF0718"/>
    <w:rsid w:val="00F232EA"/>
    <w:rsid w:val="00F24EA0"/>
    <w:rsid w:val="00F269B1"/>
    <w:rsid w:val="00F40DC9"/>
    <w:rsid w:val="00F54112"/>
    <w:rsid w:val="00F63D50"/>
    <w:rsid w:val="00F73F4B"/>
    <w:rsid w:val="00F876A4"/>
    <w:rsid w:val="00FF0001"/>
    <w:rsid w:val="0101273F"/>
    <w:rsid w:val="01017C11"/>
    <w:rsid w:val="011A461A"/>
    <w:rsid w:val="018A7679"/>
    <w:rsid w:val="01D75A72"/>
    <w:rsid w:val="01F74C07"/>
    <w:rsid w:val="0205021E"/>
    <w:rsid w:val="0365214C"/>
    <w:rsid w:val="037D66FA"/>
    <w:rsid w:val="03A506B1"/>
    <w:rsid w:val="03DA16B3"/>
    <w:rsid w:val="04536448"/>
    <w:rsid w:val="04755643"/>
    <w:rsid w:val="048067D6"/>
    <w:rsid w:val="059D6122"/>
    <w:rsid w:val="05AE34ED"/>
    <w:rsid w:val="0639797F"/>
    <w:rsid w:val="064122AC"/>
    <w:rsid w:val="06485319"/>
    <w:rsid w:val="068A55A6"/>
    <w:rsid w:val="06E433D8"/>
    <w:rsid w:val="07B436A2"/>
    <w:rsid w:val="07BB67DE"/>
    <w:rsid w:val="08632BD0"/>
    <w:rsid w:val="08BF2D48"/>
    <w:rsid w:val="08F05980"/>
    <w:rsid w:val="0A0B6A94"/>
    <w:rsid w:val="0A1840A7"/>
    <w:rsid w:val="0A241D15"/>
    <w:rsid w:val="0A9406F7"/>
    <w:rsid w:val="0A980DBF"/>
    <w:rsid w:val="0B0A4727"/>
    <w:rsid w:val="0B713769"/>
    <w:rsid w:val="0B9A5AA5"/>
    <w:rsid w:val="0BC02849"/>
    <w:rsid w:val="0BD24941"/>
    <w:rsid w:val="0CB97F6B"/>
    <w:rsid w:val="0CC02F93"/>
    <w:rsid w:val="0CD86783"/>
    <w:rsid w:val="0E80368C"/>
    <w:rsid w:val="0F437A9F"/>
    <w:rsid w:val="0F8B6665"/>
    <w:rsid w:val="102437C6"/>
    <w:rsid w:val="102C05FA"/>
    <w:rsid w:val="10327E39"/>
    <w:rsid w:val="10497C03"/>
    <w:rsid w:val="10B37912"/>
    <w:rsid w:val="10B91486"/>
    <w:rsid w:val="10C4513B"/>
    <w:rsid w:val="11010E0B"/>
    <w:rsid w:val="116D21D6"/>
    <w:rsid w:val="119D165E"/>
    <w:rsid w:val="11B147AE"/>
    <w:rsid w:val="12805850"/>
    <w:rsid w:val="137C6E7C"/>
    <w:rsid w:val="13EA7094"/>
    <w:rsid w:val="13ED1033"/>
    <w:rsid w:val="141A2741"/>
    <w:rsid w:val="14A86372"/>
    <w:rsid w:val="152F202F"/>
    <w:rsid w:val="157B64D1"/>
    <w:rsid w:val="158315E4"/>
    <w:rsid w:val="15A46B24"/>
    <w:rsid w:val="15AE1730"/>
    <w:rsid w:val="1676610A"/>
    <w:rsid w:val="176376F1"/>
    <w:rsid w:val="17A0154D"/>
    <w:rsid w:val="17A70CF6"/>
    <w:rsid w:val="17E92123"/>
    <w:rsid w:val="184D1B07"/>
    <w:rsid w:val="18715D1D"/>
    <w:rsid w:val="19547C3D"/>
    <w:rsid w:val="19606191"/>
    <w:rsid w:val="19720CC7"/>
    <w:rsid w:val="1A114D7E"/>
    <w:rsid w:val="1A3260CC"/>
    <w:rsid w:val="1A4E4346"/>
    <w:rsid w:val="1A5B4284"/>
    <w:rsid w:val="1A7F3614"/>
    <w:rsid w:val="1AAC5141"/>
    <w:rsid w:val="1AB72899"/>
    <w:rsid w:val="1B3C0814"/>
    <w:rsid w:val="1B484348"/>
    <w:rsid w:val="1B80482E"/>
    <w:rsid w:val="1C1A2899"/>
    <w:rsid w:val="1C3014E3"/>
    <w:rsid w:val="1C610301"/>
    <w:rsid w:val="1C7E5D73"/>
    <w:rsid w:val="1C8832B4"/>
    <w:rsid w:val="1CD9555E"/>
    <w:rsid w:val="1D76522A"/>
    <w:rsid w:val="1E025F04"/>
    <w:rsid w:val="1E3F1E08"/>
    <w:rsid w:val="1E4F3DA9"/>
    <w:rsid w:val="1EC51516"/>
    <w:rsid w:val="1F2854DA"/>
    <w:rsid w:val="1F362EF0"/>
    <w:rsid w:val="1F977361"/>
    <w:rsid w:val="1FB32F4D"/>
    <w:rsid w:val="204B5EA7"/>
    <w:rsid w:val="206F6D22"/>
    <w:rsid w:val="20CE22A3"/>
    <w:rsid w:val="20E35CE7"/>
    <w:rsid w:val="21752DC4"/>
    <w:rsid w:val="217C60E2"/>
    <w:rsid w:val="22051872"/>
    <w:rsid w:val="223D6E7E"/>
    <w:rsid w:val="22A47FF2"/>
    <w:rsid w:val="23BA0070"/>
    <w:rsid w:val="23EC6BBB"/>
    <w:rsid w:val="240A753C"/>
    <w:rsid w:val="24236BD9"/>
    <w:rsid w:val="250C164D"/>
    <w:rsid w:val="255E0227"/>
    <w:rsid w:val="25EF37B9"/>
    <w:rsid w:val="262042BE"/>
    <w:rsid w:val="268E1025"/>
    <w:rsid w:val="26C24BDA"/>
    <w:rsid w:val="26ED3A01"/>
    <w:rsid w:val="272706CE"/>
    <w:rsid w:val="277871A3"/>
    <w:rsid w:val="278E2C4A"/>
    <w:rsid w:val="279D7FE8"/>
    <w:rsid w:val="28732B5E"/>
    <w:rsid w:val="28CD45E5"/>
    <w:rsid w:val="29074254"/>
    <w:rsid w:val="297A67EA"/>
    <w:rsid w:val="29930E6B"/>
    <w:rsid w:val="29EA4F59"/>
    <w:rsid w:val="29F842FA"/>
    <w:rsid w:val="2A387780"/>
    <w:rsid w:val="2A5971EB"/>
    <w:rsid w:val="2A965E28"/>
    <w:rsid w:val="2AFF3D8A"/>
    <w:rsid w:val="2B107AA3"/>
    <w:rsid w:val="2B2F656B"/>
    <w:rsid w:val="2B304ABF"/>
    <w:rsid w:val="2B3513CF"/>
    <w:rsid w:val="2BF1788C"/>
    <w:rsid w:val="2C403D60"/>
    <w:rsid w:val="2CD1140B"/>
    <w:rsid w:val="2D915E22"/>
    <w:rsid w:val="2E1441A8"/>
    <w:rsid w:val="2EEA277A"/>
    <w:rsid w:val="2F9049CD"/>
    <w:rsid w:val="303213C6"/>
    <w:rsid w:val="30526840"/>
    <w:rsid w:val="306752DC"/>
    <w:rsid w:val="306F02F0"/>
    <w:rsid w:val="30D047F9"/>
    <w:rsid w:val="31413001"/>
    <w:rsid w:val="315707F8"/>
    <w:rsid w:val="317466F6"/>
    <w:rsid w:val="32221084"/>
    <w:rsid w:val="32262B36"/>
    <w:rsid w:val="32265C27"/>
    <w:rsid w:val="32585FFF"/>
    <w:rsid w:val="32595126"/>
    <w:rsid w:val="32652FEB"/>
    <w:rsid w:val="32B332E4"/>
    <w:rsid w:val="32BE762C"/>
    <w:rsid w:val="32C05482"/>
    <w:rsid w:val="33403B57"/>
    <w:rsid w:val="347E05B5"/>
    <w:rsid w:val="34936072"/>
    <w:rsid w:val="349B511E"/>
    <w:rsid w:val="351F179F"/>
    <w:rsid w:val="354410DF"/>
    <w:rsid w:val="363540F3"/>
    <w:rsid w:val="370E13AD"/>
    <w:rsid w:val="37860166"/>
    <w:rsid w:val="37DF71BE"/>
    <w:rsid w:val="38404482"/>
    <w:rsid w:val="38A66CD9"/>
    <w:rsid w:val="38CA1F41"/>
    <w:rsid w:val="38EF7DCA"/>
    <w:rsid w:val="399273AC"/>
    <w:rsid w:val="3A0662D5"/>
    <w:rsid w:val="3A6E70C4"/>
    <w:rsid w:val="3A913173"/>
    <w:rsid w:val="3A922C9F"/>
    <w:rsid w:val="3AC336FA"/>
    <w:rsid w:val="3AD20783"/>
    <w:rsid w:val="3AD646B7"/>
    <w:rsid w:val="3AD8228D"/>
    <w:rsid w:val="3AE947C0"/>
    <w:rsid w:val="3B39734A"/>
    <w:rsid w:val="3B6E1B5C"/>
    <w:rsid w:val="3B940304"/>
    <w:rsid w:val="3BB113FA"/>
    <w:rsid w:val="3C1C28B9"/>
    <w:rsid w:val="3C3560EA"/>
    <w:rsid w:val="3CD13DCD"/>
    <w:rsid w:val="3CE94AC0"/>
    <w:rsid w:val="3CF92D4C"/>
    <w:rsid w:val="3D0C7697"/>
    <w:rsid w:val="3D504311"/>
    <w:rsid w:val="3E3E338C"/>
    <w:rsid w:val="3E480FF2"/>
    <w:rsid w:val="3EBE55D5"/>
    <w:rsid w:val="3ED14949"/>
    <w:rsid w:val="3ED43E12"/>
    <w:rsid w:val="3EF53325"/>
    <w:rsid w:val="3F217C6F"/>
    <w:rsid w:val="3F37263F"/>
    <w:rsid w:val="3F937639"/>
    <w:rsid w:val="3FA4528C"/>
    <w:rsid w:val="3FB97EE3"/>
    <w:rsid w:val="4013329E"/>
    <w:rsid w:val="4080441C"/>
    <w:rsid w:val="40B37895"/>
    <w:rsid w:val="41567F34"/>
    <w:rsid w:val="421A58BE"/>
    <w:rsid w:val="421E199A"/>
    <w:rsid w:val="42350AA5"/>
    <w:rsid w:val="425C7D5C"/>
    <w:rsid w:val="42C6780A"/>
    <w:rsid w:val="42FD18B1"/>
    <w:rsid w:val="43337471"/>
    <w:rsid w:val="43454BD3"/>
    <w:rsid w:val="436A637D"/>
    <w:rsid w:val="43787867"/>
    <w:rsid w:val="440851F4"/>
    <w:rsid w:val="443D3CD4"/>
    <w:rsid w:val="45262EFD"/>
    <w:rsid w:val="45A22E73"/>
    <w:rsid w:val="45A7740B"/>
    <w:rsid w:val="45EF250A"/>
    <w:rsid w:val="46934314"/>
    <w:rsid w:val="46D117F0"/>
    <w:rsid w:val="472C631B"/>
    <w:rsid w:val="47356D4C"/>
    <w:rsid w:val="47705795"/>
    <w:rsid w:val="47890C9C"/>
    <w:rsid w:val="4817096D"/>
    <w:rsid w:val="48804B98"/>
    <w:rsid w:val="489B1E3B"/>
    <w:rsid w:val="48B06EB0"/>
    <w:rsid w:val="48B64D76"/>
    <w:rsid w:val="49034B82"/>
    <w:rsid w:val="49930A1A"/>
    <w:rsid w:val="49935C54"/>
    <w:rsid w:val="49B11934"/>
    <w:rsid w:val="4A317CA3"/>
    <w:rsid w:val="4A5A01CE"/>
    <w:rsid w:val="4ACC4A49"/>
    <w:rsid w:val="4C74013B"/>
    <w:rsid w:val="4CCE5C59"/>
    <w:rsid w:val="4CF5469F"/>
    <w:rsid w:val="4D107434"/>
    <w:rsid w:val="4DFC7657"/>
    <w:rsid w:val="4E453524"/>
    <w:rsid w:val="4E6A0A2B"/>
    <w:rsid w:val="4F074E8D"/>
    <w:rsid w:val="4FA740A2"/>
    <w:rsid w:val="4FB331DB"/>
    <w:rsid w:val="4FFC1B1E"/>
    <w:rsid w:val="505103D4"/>
    <w:rsid w:val="50817D74"/>
    <w:rsid w:val="50BB0E44"/>
    <w:rsid w:val="51317099"/>
    <w:rsid w:val="51861577"/>
    <w:rsid w:val="51F75714"/>
    <w:rsid w:val="520D15B4"/>
    <w:rsid w:val="52554D9B"/>
    <w:rsid w:val="525A6A1E"/>
    <w:rsid w:val="526F7FD2"/>
    <w:rsid w:val="52D37D65"/>
    <w:rsid w:val="52E45273"/>
    <w:rsid w:val="52F15C44"/>
    <w:rsid w:val="53422901"/>
    <w:rsid w:val="53493995"/>
    <w:rsid w:val="53BD6E30"/>
    <w:rsid w:val="53F6313F"/>
    <w:rsid w:val="54191421"/>
    <w:rsid w:val="543174E2"/>
    <w:rsid w:val="547312DE"/>
    <w:rsid w:val="54E77750"/>
    <w:rsid w:val="554B0360"/>
    <w:rsid w:val="5576506B"/>
    <w:rsid w:val="559E06D2"/>
    <w:rsid w:val="55BA0635"/>
    <w:rsid w:val="56061272"/>
    <w:rsid w:val="568B6949"/>
    <w:rsid w:val="568D7A95"/>
    <w:rsid w:val="56C8194B"/>
    <w:rsid w:val="572C2599"/>
    <w:rsid w:val="57352392"/>
    <w:rsid w:val="574D6690"/>
    <w:rsid w:val="577C3D5D"/>
    <w:rsid w:val="57AE68B2"/>
    <w:rsid w:val="5855720E"/>
    <w:rsid w:val="58B82D18"/>
    <w:rsid w:val="599974E1"/>
    <w:rsid w:val="59AB6B24"/>
    <w:rsid w:val="59B7603B"/>
    <w:rsid w:val="59BF0F83"/>
    <w:rsid w:val="59DA6EFF"/>
    <w:rsid w:val="5A6976DF"/>
    <w:rsid w:val="5AD2629A"/>
    <w:rsid w:val="5ADC567B"/>
    <w:rsid w:val="5B515F98"/>
    <w:rsid w:val="5BFA5BD4"/>
    <w:rsid w:val="5C796912"/>
    <w:rsid w:val="5CA714D7"/>
    <w:rsid w:val="5CCD4563"/>
    <w:rsid w:val="5CD1517E"/>
    <w:rsid w:val="5CDA44A1"/>
    <w:rsid w:val="5CE279A7"/>
    <w:rsid w:val="5D555A0A"/>
    <w:rsid w:val="5D9A6632"/>
    <w:rsid w:val="5DB731BC"/>
    <w:rsid w:val="5E23037A"/>
    <w:rsid w:val="5E745155"/>
    <w:rsid w:val="5EEE4514"/>
    <w:rsid w:val="5F0008E1"/>
    <w:rsid w:val="5F1C6D00"/>
    <w:rsid w:val="5F814C16"/>
    <w:rsid w:val="5F942D9E"/>
    <w:rsid w:val="5FAE39F2"/>
    <w:rsid w:val="5FE11D32"/>
    <w:rsid w:val="5FEA25E2"/>
    <w:rsid w:val="5FFA682D"/>
    <w:rsid w:val="60C725A8"/>
    <w:rsid w:val="61086C02"/>
    <w:rsid w:val="61287132"/>
    <w:rsid w:val="613320B7"/>
    <w:rsid w:val="61694AFD"/>
    <w:rsid w:val="616970FF"/>
    <w:rsid w:val="61E03BEB"/>
    <w:rsid w:val="61E92883"/>
    <w:rsid w:val="62CB19BB"/>
    <w:rsid w:val="62E77783"/>
    <w:rsid w:val="63666BFE"/>
    <w:rsid w:val="63C626F0"/>
    <w:rsid w:val="63FC6B08"/>
    <w:rsid w:val="645537E4"/>
    <w:rsid w:val="64C72436"/>
    <w:rsid w:val="658A5DC7"/>
    <w:rsid w:val="65A4702A"/>
    <w:rsid w:val="65B63C82"/>
    <w:rsid w:val="66475109"/>
    <w:rsid w:val="664A0B35"/>
    <w:rsid w:val="66705239"/>
    <w:rsid w:val="66F6148F"/>
    <w:rsid w:val="66FB247D"/>
    <w:rsid w:val="68077C36"/>
    <w:rsid w:val="6822660D"/>
    <w:rsid w:val="684F19DD"/>
    <w:rsid w:val="688A2F04"/>
    <w:rsid w:val="68F26358"/>
    <w:rsid w:val="69440332"/>
    <w:rsid w:val="69571813"/>
    <w:rsid w:val="696C59A0"/>
    <w:rsid w:val="69933D5B"/>
    <w:rsid w:val="69DF03AA"/>
    <w:rsid w:val="6A10166B"/>
    <w:rsid w:val="6A5A5D6D"/>
    <w:rsid w:val="6AB03546"/>
    <w:rsid w:val="6B3763A4"/>
    <w:rsid w:val="6B6C4D7C"/>
    <w:rsid w:val="6B780CC9"/>
    <w:rsid w:val="6B876A7D"/>
    <w:rsid w:val="6B921D8B"/>
    <w:rsid w:val="6BC45490"/>
    <w:rsid w:val="6CEF2675"/>
    <w:rsid w:val="6D502A9D"/>
    <w:rsid w:val="6D816913"/>
    <w:rsid w:val="6DC8554E"/>
    <w:rsid w:val="6E0E40E7"/>
    <w:rsid w:val="6E29607D"/>
    <w:rsid w:val="6E71658C"/>
    <w:rsid w:val="6E9C2ED6"/>
    <w:rsid w:val="6F0B59B2"/>
    <w:rsid w:val="6F672022"/>
    <w:rsid w:val="6F9B43EB"/>
    <w:rsid w:val="6FF86560"/>
    <w:rsid w:val="70113A3C"/>
    <w:rsid w:val="706814CD"/>
    <w:rsid w:val="70700D13"/>
    <w:rsid w:val="70F50E53"/>
    <w:rsid w:val="710638AB"/>
    <w:rsid w:val="718B0EFC"/>
    <w:rsid w:val="718E17A7"/>
    <w:rsid w:val="71EE0FA7"/>
    <w:rsid w:val="7215463C"/>
    <w:rsid w:val="72676207"/>
    <w:rsid w:val="726E5EB4"/>
    <w:rsid w:val="727653C6"/>
    <w:rsid w:val="72785EF8"/>
    <w:rsid w:val="72BA6BF6"/>
    <w:rsid w:val="72CE477C"/>
    <w:rsid w:val="730503CF"/>
    <w:rsid w:val="73AB1B34"/>
    <w:rsid w:val="73BC2EA3"/>
    <w:rsid w:val="73BF0637"/>
    <w:rsid w:val="74137A91"/>
    <w:rsid w:val="743431E8"/>
    <w:rsid w:val="74A1648B"/>
    <w:rsid w:val="74BC7385"/>
    <w:rsid w:val="754A715F"/>
    <w:rsid w:val="7634689C"/>
    <w:rsid w:val="76425A2A"/>
    <w:rsid w:val="76834D80"/>
    <w:rsid w:val="76DC2BDD"/>
    <w:rsid w:val="77E31F0C"/>
    <w:rsid w:val="78337FBD"/>
    <w:rsid w:val="78411AAD"/>
    <w:rsid w:val="784A5334"/>
    <w:rsid w:val="78856C35"/>
    <w:rsid w:val="78FF5552"/>
    <w:rsid w:val="79C4100A"/>
    <w:rsid w:val="7A1F7CD7"/>
    <w:rsid w:val="7AD44CDB"/>
    <w:rsid w:val="7AE73064"/>
    <w:rsid w:val="7AF13AF6"/>
    <w:rsid w:val="7BC957A9"/>
    <w:rsid w:val="7BFB7CF2"/>
    <w:rsid w:val="7C0A51F3"/>
    <w:rsid w:val="7C285228"/>
    <w:rsid w:val="7C4E1332"/>
    <w:rsid w:val="7C571058"/>
    <w:rsid w:val="7C8A3B0D"/>
    <w:rsid w:val="7CA439C4"/>
    <w:rsid w:val="7CAA48C9"/>
    <w:rsid w:val="7CBD0749"/>
    <w:rsid w:val="7D255D7C"/>
    <w:rsid w:val="7D702D4C"/>
    <w:rsid w:val="7DB3399B"/>
    <w:rsid w:val="7DCE79B7"/>
    <w:rsid w:val="7DCF05EE"/>
    <w:rsid w:val="7E1458CF"/>
    <w:rsid w:val="7E5E06DD"/>
    <w:rsid w:val="7E7A20F9"/>
    <w:rsid w:val="7EF76747"/>
    <w:rsid w:val="7F122341"/>
    <w:rsid w:val="7F17527B"/>
    <w:rsid w:val="7F223383"/>
    <w:rsid w:val="7F525CE2"/>
    <w:rsid w:val="7F8B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43"/>
    <w:qFormat/>
    <w:uiPriority w:val="0"/>
    <w:pPr>
      <w:keepNext/>
      <w:keepLines/>
      <w:spacing w:line="360" w:lineRule="auto"/>
      <w:ind w:firstLine="643" w:firstLineChars="200"/>
      <w:jc w:val="left"/>
      <w:outlineLvl w:val="0"/>
    </w:pPr>
    <w:rPr>
      <w:rFonts w:eastAsia="黑体"/>
      <w:kern w:val="44"/>
      <w:sz w:val="28"/>
    </w:rPr>
  </w:style>
  <w:style w:type="paragraph" w:styleId="5">
    <w:name w:val="heading 2"/>
    <w:basedOn w:val="1"/>
    <w:next w:val="1"/>
    <w:unhideWhenUsed/>
    <w:qFormat/>
    <w:uiPriority w:val="0"/>
    <w:pPr>
      <w:keepNext/>
      <w:spacing w:line="360" w:lineRule="auto"/>
      <w:ind w:firstLine="643" w:firstLineChars="200"/>
      <w:jc w:val="left"/>
      <w:outlineLvl w:val="1"/>
    </w:pPr>
    <w:rPr>
      <w:rFonts w:ascii="Arial" w:hAnsi="Arial" w:eastAsia="楷体_GB2312"/>
      <w:sz w:val="28"/>
    </w:rPr>
  </w:style>
  <w:style w:type="paragraph" w:styleId="6">
    <w:name w:val="heading 3"/>
    <w:basedOn w:val="1"/>
    <w:next w:val="1"/>
    <w:unhideWhenUsed/>
    <w:qFormat/>
    <w:uiPriority w:val="0"/>
    <w:pPr>
      <w:keepNext/>
      <w:keepLines/>
      <w:spacing w:line="360" w:lineRule="auto"/>
      <w:ind w:firstLine="643" w:firstLineChars="200"/>
      <w:outlineLvl w:val="2"/>
    </w:pPr>
    <w:rPr>
      <w:rFonts w:eastAsia="仿宋_GB2312"/>
      <w:b/>
      <w:sz w:val="28"/>
    </w:rPr>
  </w:style>
  <w:style w:type="paragraph" w:styleId="7">
    <w:name w:val="heading 4"/>
    <w:basedOn w:val="1"/>
    <w:next w:val="1"/>
    <w:unhideWhenUsed/>
    <w:qFormat/>
    <w:uiPriority w:val="0"/>
    <w:pPr>
      <w:keepNext/>
      <w:keepLines/>
      <w:spacing w:before="100" w:beforeLines="100" w:line="360" w:lineRule="auto"/>
      <w:jc w:val="center"/>
      <w:outlineLvl w:val="3"/>
    </w:pPr>
    <w:rPr>
      <w:rFonts w:ascii="Times New Roman" w:hAnsi="Times New Roman" w:eastAsia="宋体"/>
      <w:sz w:val="28"/>
    </w:rPr>
  </w:style>
  <w:style w:type="paragraph" w:styleId="8">
    <w:name w:val="heading 5"/>
    <w:basedOn w:val="1"/>
    <w:next w:val="1"/>
    <w:unhideWhenUsed/>
    <w:qFormat/>
    <w:uiPriority w:val="0"/>
    <w:pPr>
      <w:keepNext/>
      <w:keepLines/>
      <w:jc w:val="center"/>
      <w:outlineLvl w:val="4"/>
    </w:pPr>
    <w:rPr>
      <w:rFonts w:ascii="Times New Roman" w:hAnsi="Times New Roman" w:eastAsia="宋体"/>
      <w:sz w:val="24"/>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20" w:line="360" w:lineRule="auto"/>
    </w:pPr>
    <w:rPr>
      <w:sz w:val="28"/>
    </w:rPr>
  </w:style>
  <w:style w:type="paragraph" w:styleId="3">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uiPriority w:val="0"/>
    <w:rPr>
      <w:b/>
    </w:rPr>
  </w:style>
  <w:style w:type="character" w:styleId="19">
    <w:name w:val="FollowedHyperlink"/>
    <w:basedOn w:val="17"/>
    <w:qFormat/>
    <w:uiPriority w:val="0"/>
    <w:rPr>
      <w:color w:val="333333"/>
      <w:u w:val="none"/>
    </w:rPr>
  </w:style>
  <w:style w:type="character" w:styleId="20">
    <w:name w:val="HTML Definition"/>
    <w:basedOn w:val="17"/>
    <w:qFormat/>
    <w:uiPriority w:val="0"/>
  </w:style>
  <w:style w:type="character" w:styleId="21">
    <w:name w:val="HTML Typewriter"/>
    <w:basedOn w:val="17"/>
    <w:qFormat/>
    <w:uiPriority w:val="0"/>
    <w:rPr>
      <w:rFonts w:ascii="Courier New" w:hAnsi="Courier New" w:cs="Courier New"/>
      <w:sz w:val="20"/>
    </w:rPr>
  </w:style>
  <w:style w:type="character" w:styleId="22">
    <w:name w:val="HTML Variable"/>
    <w:basedOn w:val="17"/>
    <w:qFormat/>
    <w:uiPriority w:val="0"/>
  </w:style>
  <w:style w:type="character" w:styleId="23">
    <w:name w:val="Hyperlink"/>
    <w:basedOn w:val="17"/>
    <w:qFormat/>
    <w:uiPriority w:val="0"/>
    <w:rPr>
      <w:color w:val="333333"/>
      <w:u w:val="none"/>
    </w:rPr>
  </w:style>
  <w:style w:type="character" w:styleId="24">
    <w:name w:val="HTML Code"/>
    <w:basedOn w:val="17"/>
    <w:qFormat/>
    <w:uiPriority w:val="0"/>
    <w:rPr>
      <w:rFonts w:hint="default" w:ascii="Courier New" w:hAnsi="Courier New" w:cs="Courier New"/>
      <w:sz w:val="20"/>
    </w:rPr>
  </w:style>
  <w:style w:type="character" w:styleId="25">
    <w:name w:val="HTML Cite"/>
    <w:basedOn w:val="17"/>
    <w:qFormat/>
    <w:uiPriority w:val="0"/>
  </w:style>
  <w:style w:type="character" w:styleId="26">
    <w:name w:val="footnote reference"/>
    <w:basedOn w:val="17"/>
    <w:qFormat/>
    <w:uiPriority w:val="0"/>
    <w:rPr>
      <w:vertAlign w:val="superscript"/>
    </w:rPr>
  </w:style>
  <w:style w:type="character" w:styleId="27">
    <w:name w:val="HTML Keyboard"/>
    <w:basedOn w:val="17"/>
    <w:qFormat/>
    <w:uiPriority w:val="0"/>
    <w:rPr>
      <w:rFonts w:hint="default" w:ascii="Courier New" w:hAnsi="Courier New" w:cs="Courier New"/>
      <w:sz w:val="20"/>
    </w:rPr>
  </w:style>
  <w:style w:type="character" w:styleId="28">
    <w:name w:val="HTML Sample"/>
    <w:basedOn w:val="17"/>
    <w:qFormat/>
    <w:uiPriority w:val="0"/>
    <w:rPr>
      <w:rFonts w:hint="default" w:ascii="Courier New" w:hAnsi="Courier New" w:cs="Courier New"/>
    </w:rPr>
  </w:style>
  <w:style w:type="character" w:customStyle="1" w:styleId="29">
    <w:name w:val="font41"/>
    <w:basedOn w:val="17"/>
    <w:qFormat/>
    <w:uiPriority w:val="0"/>
    <w:rPr>
      <w:rFonts w:hint="eastAsia" w:ascii="宋体" w:hAnsi="宋体" w:eastAsia="宋体" w:cs="宋体"/>
      <w:color w:val="000000"/>
      <w:sz w:val="20"/>
      <w:szCs w:val="20"/>
      <w:u w:val="none"/>
    </w:rPr>
  </w:style>
  <w:style w:type="character" w:customStyle="1" w:styleId="30">
    <w:name w:val="font21"/>
    <w:basedOn w:val="17"/>
    <w:qFormat/>
    <w:uiPriority w:val="0"/>
    <w:rPr>
      <w:rFonts w:hint="eastAsia" w:ascii="仿宋_GB2312" w:eastAsia="仿宋_GB2312" w:cs="仿宋_GB2312"/>
      <w:color w:val="000000"/>
      <w:sz w:val="20"/>
      <w:szCs w:val="20"/>
      <w:u w:val="none"/>
    </w:rPr>
  </w:style>
  <w:style w:type="character" w:customStyle="1" w:styleId="31">
    <w:name w:val="font91"/>
    <w:basedOn w:val="17"/>
    <w:qFormat/>
    <w:uiPriority w:val="0"/>
    <w:rPr>
      <w:rFonts w:ascii="宋体" w:hAnsi="宋体" w:eastAsia="宋体" w:cs="宋体"/>
      <w:color w:val="000000"/>
      <w:sz w:val="18"/>
      <w:szCs w:val="18"/>
      <w:u w:val="none"/>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大标题"/>
    <w:link w:val="47"/>
    <w:qFormat/>
    <w:uiPriority w:val="0"/>
    <w:pPr>
      <w:spacing w:after="100" w:afterLines="100"/>
      <w:jc w:val="center"/>
    </w:pPr>
    <w:rPr>
      <w:rFonts w:ascii="Times New Roman" w:hAnsi="Times New Roman" w:eastAsia="方正小标宋简体" w:cs="Times New Roman"/>
      <w:sz w:val="36"/>
      <w:lang w:val="en-US" w:eastAsia="zh-CN" w:bidi="ar-SA"/>
    </w:rPr>
  </w:style>
  <w:style w:type="paragraph" w:customStyle="1" w:styleId="34">
    <w:name w:val="闻政正文"/>
    <w:basedOn w:val="1"/>
    <w:next w:val="1"/>
    <w:qFormat/>
    <w:uiPriority w:val="0"/>
    <w:pPr>
      <w:spacing w:line="500" w:lineRule="exact"/>
      <w:ind w:firstLine="560" w:firstLineChars="200"/>
    </w:pPr>
    <w:rPr>
      <w:rFonts w:ascii="Times New Roman" w:hAnsi="Times New Roman" w:eastAsia="仿宋_GB2312"/>
      <w:kern w:val="0"/>
      <w:sz w:val="28"/>
      <w:szCs w:val="28"/>
    </w:rPr>
  </w:style>
  <w:style w:type="character" w:customStyle="1" w:styleId="35">
    <w:name w:val="layui-layer-tabnow"/>
    <w:basedOn w:val="17"/>
    <w:qFormat/>
    <w:uiPriority w:val="0"/>
    <w:rPr>
      <w:bdr w:val="single" w:color="CCCCCC" w:sz="4" w:space="0"/>
      <w:shd w:val="clear" w:color="auto" w:fill="FFFFFF"/>
    </w:rPr>
  </w:style>
  <w:style w:type="character" w:customStyle="1" w:styleId="36">
    <w:name w:val="first-child"/>
    <w:basedOn w:val="17"/>
    <w:qFormat/>
    <w:uiPriority w:val="0"/>
  </w:style>
  <w:style w:type="character" w:customStyle="1" w:styleId="37">
    <w:name w:val="hover16"/>
    <w:basedOn w:val="17"/>
    <w:qFormat/>
    <w:uiPriority w:val="0"/>
    <w:rPr>
      <w:shd w:val="clear" w:color="auto" w:fill="F3F3F3"/>
    </w:rPr>
  </w:style>
  <w:style w:type="character" w:customStyle="1" w:styleId="38">
    <w:name w:val="hover17"/>
    <w:basedOn w:val="17"/>
    <w:qFormat/>
    <w:uiPriority w:val="0"/>
    <w:rPr>
      <w:sz w:val="16"/>
      <w:szCs w:val="16"/>
    </w:rPr>
  </w:style>
  <w:style w:type="character" w:customStyle="1" w:styleId="39">
    <w:name w:val="hover18"/>
    <w:basedOn w:val="17"/>
    <w:qFormat/>
    <w:uiPriority w:val="0"/>
    <w:rPr>
      <w:shd w:val="clear" w:color="auto" w:fill="F3F3F3"/>
    </w:rPr>
  </w:style>
  <w:style w:type="character" w:customStyle="1" w:styleId="40">
    <w:name w:val="last-child"/>
    <w:basedOn w:val="17"/>
    <w:qFormat/>
    <w:uiPriority w:val="0"/>
  </w:style>
  <w:style w:type="paragraph" w:customStyle="1" w:styleId="41">
    <w:name w:val="列出段落1"/>
    <w:basedOn w:val="1"/>
    <w:qFormat/>
    <w:uiPriority w:val="99"/>
    <w:pPr>
      <w:ind w:firstLine="420" w:firstLineChars="200"/>
    </w:pPr>
    <w:rPr>
      <w:rFonts w:ascii="Calibri" w:hAnsi="Calibri"/>
      <w:szCs w:val="22"/>
    </w:rPr>
  </w:style>
  <w:style w:type="paragraph" w:customStyle="1" w:styleId="42">
    <w:name w:val="绩效评价正文"/>
    <w:basedOn w:val="1"/>
    <w:link w:val="44"/>
    <w:qFormat/>
    <w:uiPriority w:val="0"/>
    <w:pPr>
      <w:spacing w:line="360" w:lineRule="auto"/>
      <w:ind w:firstLine="640" w:firstLineChars="200"/>
    </w:pPr>
    <w:rPr>
      <w:rFonts w:ascii="仿宋_GB2312" w:hAnsi="仿宋_GB2312" w:eastAsia="仿宋_GB2312"/>
      <w:sz w:val="28"/>
      <w:szCs w:val="32"/>
    </w:rPr>
  </w:style>
  <w:style w:type="character" w:customStyle="1" w:styleId="43">
    <w:name w:val="标题 1 字符"/>
    <w:link w:val="4"/>
    <w:qFormat/>
    <w:uiPriority w:val="0"/>
    <w:rPr>
      <w:rFonts w:eastAsia="黑体" w:asciiTheme="minorHAnsi" w:hAnsiTheme="minorHAnsi"/>
      <w:kern w:val="44"/>
      <w:sz w:val="28"/>
    </w:rPr>
  </w:style>
  <w:style w:type="character" w:customStyle="1" w:styleId="44">
    <w:name w:val="绩效评价正文 Char"/>
    <w:link w:val="42"/>
    <w:qFormat/>
    <w:uiPriority w:val="0"/>
    <w:rPr>
      <w:rFonts w:ascii="仿宋_GB2312" w:hAnsi="仿宋_GB2312" w:eastAsia="仿宋_GB2312"/>
      <w:sz w:val="28"/>
      <w:szCs w:val="32"/>
    </w:rPr>
  </w:style>
  <w:style w:type="paragraph" w:customStyle="1" w:styleId="45">
    <w:name w:val="TOC 标题1"/>
    <w:basedOn w:val="4"/>
    <w:next w:val="1"/>
    <w:semiHidden/>
    <w:unhideWhenUsed/>
    <w:qFormat/>
    <w:uiPriority w:val="39"/>
    <w:pPr>
      <w:widowControl/>
      <w:spacing w:before="480" w:line="276" w:lineRule="auto"/>
      <w:ind w:firstLine="0" w:firstLineChars="0"/>
      <w:outlineLvl w:val="9"/>
    </w:pPr>
    <w:rPr>
      <w:rFonts w:asciiTheme="majorHAnsi" w:hAnsiTheme="majorHAnsi" w:eastAsiaTheme="majorEastAsia" w:cstheme="majorBidi"/>
      <w:b/>
      <w:color w:val="2E75B6" w:themeColor="accent1" w:themeShade="BF"/>
      <w:kern w:val="0"/>
      <w:szCs w:val="28"/>
    </w:rPr>
  </w:style>
  <w:style w:type="paragraph" w:customStyle="1" w:styleId="4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7">
    <w:name w:val="大标题 Char"/>
    <w:link w:val="33"/>
    <w:qFormat/>
    <w:uiPriority w:val="0"/>
    <w:rPr>
      <w:rFonts w:ascii="Times New Roman" w:hAnsi="Times New Roman" w:eastAsia="方正小标宋简体" w:cs="Times New Roman"/>
      <w:sz w:val="36"/>
      <w:lang w:val="en-US" w:eastAsia="zh-CN" w:bidi="ar-SA"/>
    </w:rPr>
  </w:style>
  <w:style w:type="paragraph" w:styleId="48">
    <w:name w:val="List Paragraph"/>
    <w:basedOn w:val="1"/>
    <w:qFormat/>
    <w:uiPriority w:val="34"/>
    <w:pPr>
      <w:ind w:firstLine="420"/>
    </w:pPr>
  </w:style>
  <w:style w:type="paragraph" w:customStyle="1" w:styleId="49">
    <w:name w:val="正文1"/>
    <w:basedOn w:val="1"/>
    <w:qFormat/>
    <w:uiPriority w:val="0"/>
    <w:pPr>
      <w:autoSpaceDE w:val="0"/>
      <w:autoSpaceDN w:val="0"/>
      <w:ind w:firstLine="723"/>
      <w:jc w:val="left"/>
    </w:pPr>
    <w:rPr>
      <w:rFonts w:ascii="Times New Roman" w:hAnsi="Times New Roman" w:eastAsia="仿宋" w:cs="Times New Roman"/>
      <w:kern w:val="0"/>
      <w:szCs w:val="22"/>
      <w:lang w:val="zh-CN" w:bidi="zh-CN"/>
    </w:rPr>
  </w:style>
  <w:style w:type="table" w:customStyle="1" w:styleId="5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7611</Words>
  <Characters>8016</Characters>
  <Lines>304</Lines>
  <Paragraphs>85</Paragraphs>
  <TotalTime>46</TotalTime>
  <ScaleCrop>false</ScaleCrop>
  <LinksUpToDate>false</LinksUpToDate>
  <CharactersWithSpaces>8036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2021-10-11T00:56:00Z</dcterms:created>
  <dc:creator>李智勇</dc:creator>
  <cp:lastModifiedBy>查杰。</cp:lastModifiedBy>
  <cp:lastPrinted>2022-04-25T08:26:00Z</cp:lastPrinted>
  <dcterms:modified xsi:type="dcterms:W3CDTF">2022-09-13T11:44:14Z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6E602D081EF54BDCB9D158443C09B89B</vt:lpwstr>
  </property>
  <property fmtid="{D5CDD505-2E9C-101B-9397-08002B2CF9AE}" pid="4" name="commondata">
    <vt:lpwstr>eyJoZGlkIjoiNzcyMTUzNjE5NmMzOTRiNmY3NDllYTFhYWI0ODc3NzQifQ==</vt:lpwstr>
  </property>
</Properties>
</file>