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ind w:firstLine="0" w:firstLineChars="0"/>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宁武县扶贫开发有限公司2020年统筹</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整合财政资金绩效评价报告</w:t>
      </w:r>
    </w:p>
    <w:p/>
    <w:p/>
    <w:p/>
    <w:p>
      <w:pPr>
        <w:pStyle w:val="2"/>
      </w:pPr>
    </w:p>
    <w:p/>
    <w:p>
      <w:pPr>
        <w:pStyle w:val="2"/>
      </w:pPr>
    </w:p>
    <w:p>
      <w:pPr>
        <w:rPr>
          <w:szCs w:val="28"/>
        </w:rPr>
      </w:pPr>
    </w:p>
    <w:p>
      <w:pPr>
        <w:pStyle w:val="3"/>
        <w:ind w:firstLine="0" w:firstLineChars="0"/>
      </w:pPr>
    </w:p>
    <w:p>
      <w:pPr>
        <w:ind w:firstLine="640"/>
        <w:rPr>
          <w:rFonts w:ascii="黑体" w:hAnsi="黑体" w:eastAsia="黑体"/>
          <w:sz w:val="32"/>
          <w:szCs w:val="32"/>
        </w:rPr>
      </w:pPr>
      <w:r>
        <w:rPr>
          <w:rFonts w:hint="eastAsia" w:ascii="黑体" w:hAnsi="黑体" w:eastAsia="黑体"/>
          <w:sz w:val="32"/>
          <w:szCs w:val="32"/>
        </w:rPr>
        <w:t>单位名称：宁武县扶贫开发有限公司</w:t>
      </w:r>
    </w:p>
    <w:p>
      <w:pPr>
        <w:ind w:firstLine="640"/>
        <w:rPr>
          <w:rFonts w:ascii="黑体" w:hAnsi="黑体" w:eastAsia="黑体"/>
          <w:sz w:val="32"/>
          <w:szCs w:val="32"/>
        </w:rPr>
      </w:pPr>
      <w:r>
        <w:rPr>
          <w:rFonts w:hint="eastAsia" w:ascii="黑体" w:hAnsi="黑体" w:eastAsia="黑体"/>
          <w:sz w:val="32"/>
          <w:szCs w:val="32"/>
        </w:rPr>
        <w:t>委托单位：宁武县财政局</w:t>
      </w:r>
    </w:p>
    <w:p>
      <w:pPr>
        <w:ind w:firstLine="640"/>
        <w:rPr>
          <w:rFonts w:ascii="黑体" w:hAnsi="黑体" w:eastAsia="黑体"/>
          <w:sz w:val="32"/>
          <w:szCs w:val="32"/>
        </w:rPr>
      </w:pPr>
      <w:r>
        <w:rPr>
          <w:rFonts w:hint="eastAsia" w:ascii="黑体" w:hAnsi="黑体" w:eastAsia="黑体"/>
          <w:sz w:val="32"/>
          <w:szCs w:val="32"/>
        </w:rPr>
        <w:t xml:space="preserve">评价机构：山西亚泰会计师事务所有限公司              </w:t>
      </w:r>
    </w:p>
    <w:p>
      <w:pPr>
        <w:ind w:firstLine="640"/>
      </w:pPr>
      <w:r>
        <w:rPr>
          <w:rFonts w:hint="eastAsia" w:ascii="黑体" w:hAnsi="黑体" w:eastAsia="黑体"/>
          <w:sz w:val="32"/>
          <w:szCs w:val="32"/>
        </w:rPr>
        <w:t xml:space="preserve"> </w:t>
      </w:r>
    </w:p>
    <w:p>
      <w:pPr>
        <w:ind w:firstLine="0" w:firstLineChars="0"/>
        <w:jc w:val="center"/>
        <w:rPr>
          <w:rFonts w:ascii="黑体" w:hAnsi="黑体" w:eastAsia="黑体" w:cs="仿宋_GB2312"/>
          <w:sz w:val="32"/>
          <w:szCs w:val="32"/>
        </w:rPr>
      </w:pPr>
      <w:r>
        <w:rPr>
          <w:rFonts w:hint="eastAsia" w:ascii="黑体" w:hAnsi="黑体" w:eastAsia="黑体"/>
          <w:sz w:val="32"/>
          <w:szCs w:val="32"/>
        </w:rPr>
        <w:t>二</w:t>
      </w:r>
      <w:r>
        <w:rPr>
          <w:rFonts w:hint="eastAsia" w:ascii="黑体" w:hAnsi="黑体" w:eastAsia="黑体" w:cs="宋体"/>
          <w:sz w:val="32"/>
          <w:szCs w:val="32"/>
        </w:rPr>
        <w:t>〇</w:t>
      </w:r>
      <w:r>
        <w:rPr>
          <w:rFonts w:hint="eastAsia" w:ascii="黑体" w:hAnsi="黑体" w:eastAsia="黑体" w:cs="仿宋_GB2312"/>
          <w:sz w:val="32"/>
          <w:szCs w:val="32"/>
        </w:rPr>
        <w:t>二一年十月</w:t>
      </w:r>
    </w:p>
    <w:p>
      <w:pPr>
        <w:ind w:firstLine="0" w:firstLineChars="0"/>
        <w:rPr>
          <w:b/>
        </w:rPr>
        <w:sectPr>
          <w:headerReference r:id="rId7" w:type="first"/>
          <w:footerReference r:id="rId10" w:type="first"/>
          <w:headerReference r:id="rId5" w:type="default"/>
          <w:footerReference r:id="rId8" w:type="default"/>
          <w:headerReference r:id="rId6" w:type="even"/>
          <w:footerReference r:id="rId9" w:type="even"/>
          <w:pgSz w:w="11905" w:h="16838"/>
          <w:pgMar w:top="2041" w:right="1418" w:bottom="1418" w:left="1531" w:header="850" w:footer="992" w:gutter="0"/>
          <w:pgNumType w:start="1"/>
          <w:cols w:space="720" w:num="1"/>
          <w:titlePg/>
          <w:docGrid w:linePitch="312" w:charSpace="0"/>
        </w:sectPr>
      </w:pPr>
      <w:bookmarkStart w:id="0" w:name="_Toc20311"/>
    </w:p>
    <w:bookmarkEnd w:id="0"/>
    <w:p>
      <w:pPr>
        <w:pStyle w:val="2"/>
        <w:tabs>
          <w:tab w:val="left" w:pos="3222"/>
        </w:tabs>
        <w:ind w:firstLine="0" w:firstLineChars="0"/>
        <w:jc w:val="center"/>
        <w:rPr>
          <w:rFonts w:ascii="方正小标宋简体" w:eastAsia="方正小标宋简体"/>
          <w:sz w:val="36"/>
          <w:szCs w:val="36"/>
        </w:rPr>
      </w:pPr>
      <w:r>
        <w:rPr>
          <w:rFonts w:hint="eastAsia" w:ascii="方正小标宋简体" w:eastAsia="方正小标宋简体"/>
          <w:sz w:val="36"/>
          <w:szCs w:val="36"/>
        </w:rPr>
        <w:t>宁武县扶贫开发有限公司2020年统筹整合</w:t>
      </w:r>
    </w:p>
    <w:p>
      <w:pPr>
        <w:ind w:firstLine="0" w:firstLineChars="0"/>
        <w:jc w:val="center"/>
        <w:rPr>
          <w:sz w:val="36"/>
          <w:szCs w:val="36"/>
        </w:rPr>
      </w:pPr>
      <w:r>
        <w:rPr>
          <w:rFonts w:hint="eastAsia" w:ascii="方正小标宋简体" w:eastAsia="方正小标宋简体"/>
          <w:sz w:val="36"/>
          <w:szCs w:val="36"/>
        </w:rPr>
        <w:t>财政资金绩效评价报告</w:t>
      </w:r>
    </w:p>
    <w:p>
      <w:pPr>
        <w:rPr>
          <w:rFonts w:hAnsi="仿宋_GB2312" w:cs="仿宋_GB2312"/>
          <w:color w:val="000000"/>
          <w:szCs w:val="27"/>
        </w:rPr>
      </w:pPr>
      <w:bookmarkStart w:id="1" w:name="_Toc6992"/>
      <w:r>
        <w:rPr>
          <w:rFonts w:hint="eastAsia" w:hAnsi="仿宋_GB2312" w:cs="仿宋_GB2312"/>
          <w:color w:val="000000"/>
          <w:szCs w:val="27"/>
        </w:rPr>
        <w:t>为深入贯彻落实《中共山西省委 山西省人民政府关于全面实施预算绩效管理的实施意见》（晋发〔2018〕39号）精神，全面实施预算绩效管理，提高财政资源配置效率和使用效益，增强财政支出的责任和效率意识，根据《关于开展2020年度项目支出绩效评价工作的通知》（宁财字</w:t>
      </w:r>
      <w:r>
        <w:rPr>
          <w:rFonts w:hint="eastAsia"/>
        </w:rPr>
        <w:t>〔2021〕13号</w:t>
      </w:r>
      <w:r>
        <w:rPr>
          <w:rFonts w:hint="eastAsia" w:hAnsi="仿宋_GB2312" w:cs="仿宋_GB2312"/>
          <w:color w:val="000000"/>
          <w:szCs w:val="27"/>
        </w:rPr>
        <w:t>），受宁武县财政局委托，山西亚泰会计师事务所有限公司于2021年7月对宁武县扶贫开发有限公司2020年统筹整合财政资金进行了绩效评价。</w:t>
      </w:r>
    </w:p>
    <w:p>
      <w:pPr>
        <w:pStyle w:val="4"/>
        <w:ind w:firstLine="560"/>
      </w:pPr>
      <w:bookmarkStart w:id="2" w:name="_Toc633"/>
      <w:r>
        <w:rPr>
          <w:rFonts w:hint="eastAsia"/>
        </w:rPr>
        <w:t>一、</w:t>
      </w:r>
      <w:bookmarkEnd w:id="1"/>
      <w:r>
        <w:rPr>
          <w:rFonts w:hint="eastAsia"/>
        </w:rPr>
        <w:t>基本情况</w:t>
      </w:r>
      <w:bookmarkEnd w:id="2"/>
    </w:p>
    <w:p>
      <w:pPr>
        <w:pStyle w:val="5"/>
        <w:bidi w:val="0"/>
      </w:pPr>
      <w:r>
        <w:rPr>
          <w:rFonts w:hint="eastAsia"/>
        </w:rPr>
        <w:t>（一）项目背景</w:t>
      </w:r>
    </w:p>
    <w:p>
      <w:r>
        <w:rPr>
          <w:rFonts w:hint="eastAsia"/>
        </w:rPr>
        <w:t>打赢脱贫攻坚战是实现中国全面建成小康社会目标的重大任务，精准扶贫、精准脱贫是“十三五”期间落实党中央、国务院有关部署的一项重大政治任务和第一民生工程。统筹整合使用财政资金是党中央、国务院着眼扶贫开发全局作出的战略决策，是提高贫困地区财政资金配置效率，深化精准扶贫、精准脱贫的需要，是支持贫困县以脱贫攻坚统揽经济社会发展全局，确保如期打赢脱贫攻坚战的需要，事关全面建成小康社会的大局。</w:t>
      </w:r>
    </w:p>
    <w:p>
      <w:pPr>
        <w:rPr>
          <w:rFonts w:hAnsi="仿宋_GB2312"/>
          <w:szCs w:val="32"/>
        </w:rPr>
      </w:pPr>
      <w:r>
        <w:rPr>
          <w:rFonts w:hint="eastAsia" w:hAnsi="仿宋_GB2312"/>
          <w:szCs w:val="32"/>
        </w:rPr>
        <w:t>2014年底，国家能源局、国务院扶贫办联合启动光伏扶贫工程试点，地域涵盖6省30县。从试点经验看，光伏扶贫技术成熟、预期效益稳定，受到贫困户的普遍欢迎。2015年，国务院扶贫办将光伏扶贫确定为十大精准扶贫工</w:t>
      </w:r>
      <w:bookmarkStart w:id="124" w:name="_GoBack"/>
      <w:bookmarkEnd w:id="124"/>
      <w:r>
        <w:rPr>
          <w:rFonts w:hint="eastAsia" w:hAnsi="仿宋_GB2312"/>
          <w:szCs w:val="32"/>
        </w:rPr>
        <w:t>程之一，通过在具备光伏扶贫实施条件的地区，利用政府性资金投资建设光伏电站，政府性资金的资产收益全部用于扶贫。</w:t>
      </w:r>
    </w:p>
    <w:p>
      <w:pPr>
        <w:rPr>
          <w:rFonts w:hAnsi="仿宋_GB2312"/>
          <w:szCs w:val="32"/>
        </w:rPr>
      </w:pPr>
      <w:r>
        <w:rPr>
          <w:rFonts w:hint="eastAsia" w:hAnsi="仿宋_GB2312"/>
          <w:szCs w:val="32"/>
        </w:rPr>
        <w:t>“在具备光热条件的地方实施光伏扶贫，建设村级光伏电站，通过收益形成村集体经济，开展公益岗位扶贫、小型公益事业扶贫、奖励补助扶贫。”2017年6月，习近平总书记在深度贫困地区脱贫攻坚座谈会上的嘱托，为贫困地区打赢脱贫攻坚战提供了思路。光伏扶贫项目成为贫困地区增强经济发展活力和后劲的有力武器。</w:t>
      </w:r>
    </w:p>
    <w:p>
      <w:pPr>
        <w:rPr>
          <w:rFonts w:hAnsi="仿宋_GB2312" w:cs="仿宋_GB2312"/>
          <w:szCs w:val="28"/>
        </w:rPr>
      </w:pPr>
      <w:r>
        <w:rPr>
          <w:rFonts w:hint="eastAsia"/>
        </w:rPr>
        <w:t>国家能源局 国务院扶贫开发领导小组办公室印发了《关于下达“十三五”第二批光伏扶贫项目计划》的通知（国能发新能〔2019〕37号）文件，通知：</w:t>
      </w:r>
      <w:r>
        <w:rPr>
          <w:rFonts w:hint="eastAsia" w:hAnsi="仿宋_GB2312" w:cs="仿宋_GB2312"/>
          <w:szCs w:val="28"/>
        </w:rPr>
        <w:t>为贯彻落实《中共中央国务院关于打赢脱贫攻坚战的决定》和《中共中央国务院关于打赢脱贫攻坚战三年行动的指导意见》精神，扎实有序推进光伏扶贫工作，在各省(区)申报光伏扶贫项目的基础上，经国务院扶贫办、国家能源局联合审核，下达“十三五”第二批光伏扶贫项目计划。</w:t>
      </w:r>
    </w:p>
    <w:p>
      <w:r>
        <w:rPr>
          <w:rFonts w:hint="eastAsia"/>
        </w:rPr>
        <w:t>山西省能源局下发了《关于下达我省“十三五”第二批光伏扶贫项目计划的通知》（晋能源新能源发〔2019〕301号)文件：</w:t>
      </w:r>
      <w:r>
        <w:rPr>
          <w:rFonts w:hint="eastAsia" w:hAnsi="仿宋_GB2312" w:cs="仿宋_GB2312"/>
          <w:szCs w:val="28"/>
        </w:rPr>
        <w:t>有关市、县是组织实施光伏扶贫工程的责任主体。各市要建立健全“市负责、县落实”的工作机制，严格落实监管责任，确实将光伏扶贫工作责任落实到部门和人员。各市县扶贫办要按照《光伏扶贫电站管理办法》(国能发新能〔2018</w:t>
      </w:r>
      <w:r>
        <w:rPr>
          <w:rFonts w:hint="eastAsia"/>
        </w:rPr>
        <w:t>〕</w:t>
      </w:r>
      <w:r>
        <w:rPr>
          <w:rFonts w:hint="eastAsia" w:hAnsi="仿宋_GB2312" w:cs="仿宋_GB2312"/>
          <w:szCs w:val="28"/>
        </w:rPr>
        <w:t>29号)、国务院扶贫办印发的《村级光伏扶贫电站收益分配管理办法》(国开办发</w:t>
      </w:r>
      <w:r>
        <w:rPr>
          <w:rFonts w:hint="eastAsia"/>
        </w:rPr>
        <w:t>〔</w:t>
      </w:r>
      <w:r>
        <w:rPr>
          <w:rFonts w:hint="eastAsia" w:hAnsi="仿宋_GB2312" w:cs="仿宋_GB2312"/>
          <w:szCs w:val="28"/>
        </w:rPr>
        <w:t>2017</w:t>
      </w:r>
      <w:r>
        <w:rPr>
          <w:rFonts w:hint="eastAsia"/>
        </w:rPr>
        <w:t>〕</w:t>
      </w:r>
      <w:r>
        <w:rPr>
          <w:rFonts w:hint="eastAsia" w:hAnsi="仿宋_GB2312" w:cs="仿宋_GB2312"/>
          <w:szCs w:val="28"/>
        </w:rPr>
        <w:t>61号)等要求，进一步搞好扶贫对象的识别认定和扶贫收益分配的管理监督工作。</w:t>
      </w:r>
    </w:p>
    <w:p>
      <w:pPr>
        <w:rPr>
          <w:rFonts w:hAnsi="仿宋_GB2312" w:cs="仿宋_GB2312"/>
          <w:szCs w:val="28"/>
        </w:rPr>
      </w:pPr>
      <w:r>
        <w:rPr>
          <w:rFonts w:hint="eastAsia" w:hAnsi="仿宋_GB2312" w:cs="仿宋_GB2312"/>
          <w:szCs w:val="28"/>
        </w:rPr>
        <w:t>集中建设扶贫车间，走的是集中开发的规模经营之路，从供水、供电、供气、提供社会大生产的服务，到科技开发的协调、职工培训的组织、企业污染的综合治理与环境美化、企业与企业之间开展协作联合等，都可以在园区内得到较好的解决，充分实现资源共享，走集约化经营之路，一方面方便了企业运作，降低了企业的创业成本，同时使社会资源得到优化配置，大大提高了资源的产出效率。</w:t>
      </w:r>
    </w:p>
    <w:p>
      <w:r>
        <w:rPr>
          <w:rFonts w:hint="eastAsia"/>
        </w:rPr>
        <w:t>宁武县委、县政府高度重视脱贫攻坚工作，积极响应扶贫政策要求，全面落实省委、市委实施意见，结合宁武县实际情况，积极推进脱贫攻坚各项工作，宁武县扶贫开发有限公司统筹整合扶贫资金共计7,600万元，资金主要用于光伏电站建设项目、扶贫标准化车间建设项目。其中光伏电站建设项目统筹整合资金4,000万元，主要用于建设联村光伏扶贫电站、户用光伏扶贫电站；扶贫标准化车间建设项目统筹整合资金3,600万元，主要用于修建扶贫标准化车间。</w:t>
      </w:r>
    </w:p>
    <w:p>
      <w:pPr>
        <w:pStyle w:val="5"/>
        <w:bidi w:val="0"/>
      </w:pPr>
      <w:bookmarkStart w:id="3" w:name="_Toc8887"/>
      <w:bookmarkStart w:id="4" w:name="_Toc155"/>
      <w:r>
        <w:rPr>
          <w:rFonts w:hint="eastAsia"/>
        </w:rPr>
        <w:t>（二）主要内容及实施情况</w:t>
      </w:r>
      <w:bookmarkEnd w:id="3"/>
    </w:p>
    <w:p>
      <w:r>
        <w:rPr>
          <w:rFonts w:hint="eastAsia"/>
        </w:rPr>
        <w:t>宁武县扶贫开发有限公司2020年统筹整合财政资金共实施了3个项目，项目具体实施内容见表1-1。</w:t>
      </w:r>
    </w:p>
    <w:p>
      <w:pPr>
        <w:pStyle w:val="2"/>
        <w:keepNext w:val="0"/>
        <w:keepLines w:val="0"/>
        <w:pageBreakBefore w:val="0"/>
        <w:widowControl w:val="0"/>
        <w:kinsoku/>
        <w:wordWrap/>
        <w:overflowPunct/>
        <w:topLinePunct w:val="0"/>
        <w:autoSpaceDE/>
        <w:autoSpaceDN/>
        <w:bidi w:val="0"/>
        <w:adjustRightInd/>
        <w:snapToGrid/>
        <w:spacing w:before="0"/>
        <w:ind w:firstLine="0" w:firstLineChars="0"/>
        <w:jc w:val="center"/>
        <w:textAlignment w:val="auto"/>
        <w:rPr>
          <w:rFonts w:hint="eastAsia" w:ascii="宋体" w:hAnsi="宋体" w:eastAsia="宋体" w:cs="宋体"/>
        </w:rPr>
      </w:pPr>
      <w:r>
        <w:rPr>
          <w:rFonts w:hint="eastAsia" w:ascii="宋体" w:hAnsi="宋体" w:eastAsia="宋体" w:cs="宋体"/>
        </w:rPr>
        <w:t>表1-1 宁武县</w:t>
      </w:r>
      <w:r>
        <w:rPr>
          <w:rFonts w:hint="eastAsia" w:ascii="宋体" w:hAnsi="宋体" w:eastAsia="宋体" w:cs="宋体"/>
          <w:szCs w:val="28"/>
        </w:rPr>
        <w:t>扶贫开发公司</w:t>
      </w:r>
      <w:r>
        <w:rPr>
          <w:rFonts w:hint="eastAsia" w:ascii="宋体" w:hAnsi="宋体" w:eastAsia="宋体" w:cs="宋体"/>
        </w:rPr>
        <w:t>2020年统筹整合资金项目</w:t>
      </w:r>
    </w:p>
    <w:p>
      <w:pPr>
        <w:pStyle w:val="2"/>
        <w:keepNext w:val="0"/>
        <w:keepLines w:val="0"/>
        <w:pageBreakBefore w:val="0"/>
        <w:widowControl w:val="0"/>
        <w:kinsoku/>
        <w:wordWrap/>
        <w:overflowPunct/>
        <w:topLinePunct w:val="0"/>
        <w:autoSpaceDE/>
        <w:autoSpaceDN/>
        <w:bidi w:val="0"/>
        <w:adjustRightInd/>
        <w:snapToGrid/>
        <w:spacing w:before="0"/>
        <w:ind w:firstLine="0" w:firstLineChars="0"/>
        <w:jc w:val="center"/>
        <w:textAlignment w:val="auto"/>
        <w:rPr>
          <w:rFonts w:ascii="宋体" w:hAnsi="宋体" w:eastAsia="宋体" w:cs="宋体"/>
        </w:rPr>
      </w:pPr>
      <w:r>
        <w:rPr>
          <w:rFonts w:hint="eastAsia" w:ascii="宋体" w:hAnsi="宋体" w:eastAsia="宋体" w:cs="宋体"/>
        </w:rPr>
        <w:t>具体实施内容表</w:t>
      </w:r>
    </w:p>
    <w:tbl>
      <w:tblPr>
        <w:tblStyle w:val="17"/>
        <w:tblW w:w="8998" w:type="dxa"/>
        <w:jc w:val="center"/>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Layout w:type="fixed"/>
        <w:tblCellMar>
          <w:top w:w="0" w:type="dxa"/>
          <w:left w:w="108" w:type="dxa"/>
          <w:bottom w:w="0" w:type="dxa"/>
          <w:right w:w="108" w:type="dxa"/>
        </w:tblCellMar>
      </w:tblPr>
      <w:tblGrid>
        <w:gridCol w:w="850"/>
        <w:gridCol w:w="2370"/>
        <w:gridCol w:w="5778"/>
      </w:tblGrid>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108" w:type="dxa"/>
            <w:bottom w:w="0" w:type="dxa"/>
            <w:right w:w="108" w:type="dxa"/>
          </w:tblCellMar>
        </w:tblPrEx>
        <w:trPr>
          <w:cantSplit/>
          <w:trHeight w:val="510" w:hRule="atLeast"/>
          <w:tblHeader/>
          <w:jc w:val="center"/>
        </w:trPr>
        <w:tc>
          <w:tcPr>
            <w:tcW w:w="850" w:type="dxa"/>
            <w:tcBorders>
              <w:tl2br w:val="nil"/>
              <w:tr2bl w:val="nil"/>
            </w:tcBorders>
            <w:shd w:val="clear" w:color="auto" w:fill="BEBEBE" w:themeFill="background1" w:themeFillShade="BF"/>
            <w:vAlign w:val="center"/>
          </w:tcPr>
          <w:p>
            <w:pPr>
              <w:pStyle w:val="2"/>
              <w:spacing w:before="0" w:line="240" w:lineRule="auto"/>
              <w:ind w:firstLine="0" w:firstLineChars="0"/>
              <w:jc w:val="center"/>
              <w:rPr>
                <w:rFonts w:ascii="宋体" w:hAnsi="宋体" w:eastAsia="宋体" w:cs="宋体"/>
                <w:b/>
                <w:bCs/>
                <w:sz w:val="24"/>
              </w:rPr>
            </w:pPr>
            <w:r>
              <w:rPr>
                <w:rFonts w:hint="eastAsia" w:ascii="宋体" w:hAnsi="宋体" w:eastAsia="宋体" w:cs="宋体"/>
                <w:b/>
                <w:bCs/>
                <w:sz w:val="24"/>
              </w:rPr>
              <w:t>序号</w:t>
            </w:r>
          </w:p>
        </w:tc>
        <w:tc>
          <w:tcPr>
            <w:tcW w:w="2370" w:type="dxa"/>
            <w:tcBorders>
              <w:tl2br w:val="nil"/>
              <w:tr2bl w:val="nil"/>
            </w:tcBorders>
            <w:shd w:val="clear" w:color="auto" w:fill="BEBEBE" w:themeFill="background1" w:themeFillShade="BF"/>
            <w:vAlign w:val="center"/>
          </w:tcPr>
          <w:p>
            <w:pPr>
              <w:pStyle w:val="2"/>
              <w:spacing w:before="0" w:line="240" w:lineRule="auto"/>
              <w:ind w:firstLine="0" w:firstLineChars="0"/>
              <w:jc w:val="center"/>
              <w:rPr>
                <w:rFonts w:ascii="宋体" w:hAnsi="宋体" w:eastAsia="宋体" w:cs="宋体"/>
                <w:b/>
                <w:bCs/>
                <w:sz w:val="24"/>
              </w:rPr>
            </w:pPr>
            <w:r>
              <w:rPr>
                <w:rFonts w:hint="eastAsia" w:ascii="宋体" w:hAnsi="宋体" w:eastAsia="宋体" w:cs="宋体"/>
                <w:b/>
                <w:bCs/>
                <w:sz w:val="24"/>
              </w:rPr>
              <w:t>项目名称</w:t>
            </w:r>
          </w:p>
        </w:tc>
        <w:tc>
          <w:tcPr>
            <w:tcW w:w="5778" w:type="dxa"/>
            <w:tcBorders>
              <w:tl2br w:val="nil"/>
              <w:tr2bl w:val="nil"/>
            </w:tcBorders>
            <w:shd w:val="clear" w:color="auto" w:fill="BEBEBE" w:themeFill="background1" w:themeFillShade="BF"/>
            <w:vAlign w:val="center"/>
          </w:tcPr>
          <w:p>
            <w:pPr>
              <w:pStyle w:val="2"/>
              <w:spacing w:before="0" w:line="240" w:lineRule="auto"/>
              <w:ind w:firstLine="0" w:firstLineChars="0"/>
              <w:jc w:val="center"/>
              <w:rPr>
                <w:rFonts w:ascii="宋体" w:hAnsi="宋体" w:eastAsia="宋体" w:cs="宋体"/>
                <w:b/>
                <w:bCs/>
                <w:sz w:val="24"/>
              </w:rPr>
            </w:pPr>
            <w:r>
              <w:rPr>
                <w:rFonts w:hint="eastAsia" w:ascii="宋体" w:hAnsi="宋体" w:eastAsia="宋体" w:cs="宋体"/>
                <w:b/>
                <w:bCs/>
                <w:sz w:val="24"/>
              </w:rPr>
              <w:t>建设任务</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108" w:type="dxa"/>
            <w:bottom w:w="0" w:type="dxa"/>
            <w:right w:w="108" w:type="dxa"/>
          </w:tblCellMar>
        </w:tblPrEx>
        <w:trPr>
          <w:cantSplit/>
          <w:trHeight w:val="510" w:hRule="atLeast"/>
          <w:jc w:val="center"/>
        </w:trPr>
        <w:tc>
          <w:tcPr>
            <w:tcW w:w="850" w:type="dxa"/>
            <w:tcBorders>
              <w:tl2br w:val="nil"/>
              <w:tr2bl w:val="nil"/>
            </w:tcBorders>
            <w:vAlign w:val="center"/>
          </w:tcPr>
          <w:p>
            <w:pPr>
              <w:pStyle w:val="2"/>
              <w:spacing w:line="240" w:lineRule="auto"/>
              <w:ind w:firstLine="0" w:firstLineChars="0"/>
              <w:jc w:val="center"/>
              <w:rPr>
                <w:rFonts w:ascii="宋体" w:hAnsi="宋体" w:eastAsia="宋体" w:cs="宋体"/>
                <w:sz w:val="24"/>
              </w:rPr>
            </w:pPr>
            <w:r>
              <w:rPr>
                <w:rFonts w:hint="eastAsia" w:ascii="宋体" w:hAnsi="宋体" w:eastAsia="宋体" w:cs="宋体"/>
                <w:sz w:val="24"/>
              </w:rPr>
              <w:t>1</w:t>
            </w:r>
          </w:p>
        </w:tc>
        <w:tc>
          <w:tcPr>
            <w:tcW w:w="2370" w:type="dxa"/>
            <w:tcBorders>
              <w:tl2br w:val="nil"/>
              <w:tr2bl w:val="nil"/>
            </w:tcBorders>
            <w:vAlign w:val="center"/>
          </w:tcPr>
          <w:p>
            <w:pPr>
              <w:spacing w:line="240" w:lineRule="auto"/>
              <w:ind w:firstLine="0" w:firstLineChars="0"/>
              <w:jc w:val="center"/>
              <w:rPr>
                <w:rFonts w:ascii="宋体" w:hAnsi="宋体" w:eastAsia="宋体" w:cs="宋体"/>
                <w:sz w:val="24"/>
              </w:rPr>
            </w:pPr>
            <w:r>
              <w:rPr>
                <w:rFonts w:hint="eastAsia" w:ascii="宋体" w:hAnsi="宋体" w:eastAsia="宋体"/>
                <w:sz w:val="24"/>
                <w:lang w:bidi="ar"/>
              </w:rPr>
              <w:t>经济技术园区扶贫</w:t>
            </w:r>
            <w:r>
              <w:rPr>
                <w:rFonts w:ascii="宋体" w:hAnsi="宋体" w:eastAsia="宋体"/>
                <w:sz w:val="24"/>
                <w:lang w:bidi="ar"/>
              </w:rPr>
              <w:t>标准化车间建设项目</w:t>
            </w:r>
          </w:p>
        </w:tc>
        <w:tc>
          <w:tcPr>
            <w:tcW w:w="5778" w:type="dxa"/>
            <w:tcBorders>
              <w:tl2br w:val="nil"/>
              <w:tr2bl w:val="nil"/>
            </w:tcBorders>
            <w:vAlign w:val="center"/>
          </w:tcPr>
          <w:p>
            <w:pPr>
              <w:widowControl/>
              <w:spacing w:line="240" w:lineRule="auto"/>
              <w:ind w:firstLine="0" w:firstLineChars="0"/>
              <w:jc w:val="left"/>
              <w:textAlignment w:val="center"/>
              <w:rPr>
                <w:rFonts w:ascii="宋体" w:hAnsi="宋体" w:eastAsia="宋体" w:cs="宋体"/>
                <w:sz w:val="24"/>
              </w:rPr>
            </w:pPr>
            <w:r>
              <w:rPr>
                <w:rFonts w:hint="eastAsia" w:ascii="宋体" w:hAnsi="宋体" w:eastAsia="宋体" w:cs="宋体"/>
                <w:color w:val="000000"/>
                <w:kern w:val="0"/>
                <w:sz w:val="24"/>
                <w:lang w:bidi="ar"/>
              </w:rPr>
              <w:t>农业园区内新建扶贫车间、室外配套工程；刘家园村新建扶贫车间、职工宿舍、办公场所、展厅及室外配套工程；转型项目发展园区新建扶贫车间及室外配套工程；工业园区新建扶贫车间、集办公区、展厅、宿舍为一体的综合楼以及室外配套工程。</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108" w:type="dxa"/>
            <w:bottom w:w="0" w:type="dxa"/>
            <w:right w:w="108" w:type="dxa"/>
          </w:tblCellMar>
        </w:tblPrEx>
        <w:trPr>
          <w:cantSplit/>
          <w:trHeight w:val="510" w:hRule="atLeast"/>
          <w:jc w:val="center"/>
        </w:trPr>
        <w:tc>
          <w:tcPr>
            <w:tcW w:w="850" w:type="dxa"/>
            <w:tcBorders>
              <w:tl2br w:val="nil"/>
              <w:tr2bl w:val="nil"/>
            </w:tcBorders>
            <w:vAlign w:val="center"/>
          </w:tcPr>
          <w:p>
            <w:pPr>
              <w:pStyle w:val="2"/>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c>
          <w:tcPr>
            <w:tcW w:w="2370" w:type="dxa"/>
            <w:tcBorders>
              <w:tl2br w:val="nil"/>
              <w:tr2bl w:val="nil"/>
            </w:tcBorders>
            <w:vAlign w:val="center"/>
          </w:tcPr>
          <w:p>
            <w:pPr>
              <w:spacing w:line="240" w:lineRule="auto"/>
              <w:ind w:firstLine="0" w:firstLineChars="0"/>
              <w:jc w:val="center"/>
              <w:rPr>
                <w:rFonts w:ascii="宋体" w:hAnsi="宋体" w:eastAsia="宋体" w:cs="宋体"/>
                <w:sz w:val="24"/>
              </w:rPr>
            </w:pPr>
            <w:r>
              <w:rPr>
                <w:rFonts w:hint="eastAsia" w:ascii="宋体" w:hAnsi="宋体" w:eastAsia="宋体"/>
                <w:sz w:val="24"/>
                <w:lang w:bidi="ar"/>
              </w:rPr>
              <w:t>扶贫加工产业园扶贫</w:t>
            </w:r>
            <w:r>
              <w:rPr>
                <w:rFonts w:ascii="宋体" w:hAnsi="宋体" w:eastAsia="宋体"/>
                <w:sz w:val="24"/>
                <w:lang w:bidi="ar"/>
              </w:rPr>
              <w:t>标准化车间建设项目</w:t>
            </w:r>
          </w:p>
        </w:tc>
        <w:tc>
          <w:tcPr>
            <w:tcW w:w="5778" w:type="dxa"/>
            <w:tcBorders>
              <w:tl2br w:val="nil"/>
              <w:tr2bl w:val="nil"/>
            </w:tcBorders>
            <w:vAlign w:val="center"/>
          </w:tcPr>
          <w:p>
            <w:pPr>
              <w:widowControl/>
              <w:spacing w:line="240" w:lineRule="auto"/>
              <w:ind w:firstLine="0" w:firstLineChars="0"/>
              <w:jc w:val="left"/>
              <w:textAlignment w:val="center"/>
              <w:rPr>
                <w:rFonts w:ascii="宋体" w:hAnsi="宋体" w:eastAsia="宋体" w:cs="宋体"/>
                <w:sz w:val="24"/>
              </w:rPr>
            </w:pPr>
            <w:r>
              <w:rPr>
                <w:rFonts w:hint="eastAsia" w:ascii="宋体" w:hAnsi="宋体" w:eastAsia="宋体"/>
                <w:sz w:val="24"/>
                <w:lang w:bidi="ar"/>
              </w:rPr>
              <w:t>建设轻钢结构车间一层，建筑面积8856㎡；建设机动停车位33个，自行车棚288㎡，绿化面积6086.70㎡，配套建设消防管网、水泵房等。新建餐厅及室外配套设施。</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108" w:type="dxa"/>
            <w:bottom w:w="0" w:type="dxa"/>
            <w:right w:w="108" w:type="dxa"/>
          </w:tblCellMar>
        </w:tblPrEx>
        <w:trPr>
          <w:cantSplit/>
          <w:trHeight w:val="510" w:hRule="atLeast"/>
          <w:jc w:val="center"/>
        </w:trPr>
        <w:tc>
          <w:tcPr>
            <w:tcW w:w="850" w:type="dxa"/>
            <w:tcBorders>
              <w:tl2br w:val="nil"/>
              <w:tr2bl w:val="nil"/>
            </w:tcBorders>
            <w:vAlign w:val="center"/>
          </w:tcPr>
          <w:p>
            <w:pPr>
              <w:pStyle w:val="2"/>
              <w:spacing w:line="240" w:lineRule="auto"/>
              <w:ind w:firstLine="0" w:firstLineChars="0"/>
              <w:jc w:val="center"/>
              <w:rPr>
                <w:rFonts w:ascii="宋体" w:hAnsi="宋体" w:eastAsia="宋体" w:cs="宋体"/>
                <w:sz w:val="24"/>
              </w:rPr>
            </w:pPr>
            <w:r>
              <w:rPr>
                <w:rFonts w:hint="eastAsia" w:ascii="宋体" w:hAnsi="宋体" w:eastAsia="宋体" w:cs="宋体"/>
                <w:sz w:val="24"/>
              </w:rPr>
              <w:t>3</w:t>
            </w:r>
          </w:p>
        </w:tc>
        <w:tc>
          <w:tcPr>
            <w:tcW w:w="2370" w:type="dxa"/>
            <w:tcBorders>
              <w:tl2br w:val="nil"/>
              <w:tr2bl w:val="nil"/>
            </w:tcBorders>
            <w:vAlign w:val="center"/>
          </w:tcPr>
          <w:p>
            <w:pPr>
              <w:spacing w:line="240" w:lineRule="auto"/>
              <w:ind w:firstLine="0" w:firstLineChars="0"/>
              <w:jc w:val="center"/>
              <w:rPr>
                <w:rFonts w:ascii="宋体" w:hAnsi="宋体" w:eastAsia="宋体" w:cs="宋体"/>
                <w:color w:val="000000"/>
                <w:sz w:val="24"/>
              </w:rPr>
            </w:pPr>
            <w:r>
              <w:rPr>
                <w:rFonts w:hint="eastAsia" w:ascii="宋体" w:hAnsi="宋体" w:eastAsia="宋体"/>
                <w:sz w:val="24"/>
                <w:lang w:bidi="ar"/>
              </w:rPr>
              <w:t>光伏电站建设项目</w:t>
            </w:r>
          </w:p>
        </w:tc>
        <w:tc>
          <w:tcPr>
            <w:tcW w:w="5778" w:type="dxa"/>
            <w:tcBorders>
              <w:tl2br w:val="nil"/>
              <w:tr2bl w:val="nil"/>
            </w:tcBorders>
            <w:vAlign w:val="center"/>
          </w:tcPr>
          <w:p>
            <w:pPr>
              <w:widowControl/>
              <w:spacing w:line="240" w:lineRule="auto"/>
              <w:ind w:firstLine="0" w:firstLineChars="0"/>
              <w:jc w:val="left"/>
              <w:textAlignment w:val="center"/>
              <w:rPr>
                <w:rFonts w:ascii="宋体" w:hAnsi="宋体" w:eastAsia="宋体" w:cs="宋体"/>
                <w:color w:val="000000"/>
                <w:sz w:val="24"/>
              </w:rPr>
            </w:pPr>
            <w:r>
              <w:rPr>
                <w:rFonts w:hint="eastAsia" w:ascii="宋体" w:hAnsi="宋体" w:eastAsia="宋体"/>
                <w:sz w:val="24"/>
                <w:lang w:bidi="ar"/>
              </w:rPr>
              <w:t>建设98个联村光伏电站、总容量75300千瓦，光伏电站466个。</w:t>
            </w:r>
          </w:p>
        </w:tc>
      </w:tr>
    </w:tbl>
    <w:p>
      <w:pPr>
        <w:pStyle w:val="5"/>
        <w:ind w:firstLine="560"/>
      </w:pPr>
      <w:bookmarkStart w:id="5" w:name="_Toc31281"/>
      <w:bookmarkStart w:id="6" w:name="_Toc27068"/>
      <w:r>
        <w:rPr>
          <w:rFonts w:hint="eastAsia"/>
        </w:rPr>
        <w:t>（三）项目资金投入和使用情况</w:t>
      </w:r>
      <w:bookmarkEnd w:id="5"/>
      <w:bookmarkEnd w:id="6"/>
    </w:p>
    <w:p>
      <w:pPr>
        <w:pStyle w:val="6"/>
        <w:ind w:firstLine="560"/>
      </w:pPr>
      <w:bookmarkStart w:id="7" w:name="_Toc9124"/>
      <w:bookmarkStart w:id="8" w:name="_Toc513218635"/>
      <w:bookmarkStart w:id="9" w:name="_Toc513731590"/>
      <w:r>
        <w:rPr>
          <w:rFonts w:hint="eastAsia"/>
        </w:rPr>
        <w:t>1.资金投入情况</w:t>
      </w:r>
    </w:p>
    <w:bookmarkEnd w:id="4"/>
    <w:bookmarkEnd w:id="7"/>
    <w:bookmarkEnd w:id="8"/>
    <w:bookmarkEnd w:id="9"/>
    <w:p>
      <w:r>
        <w:rPr>
          <w:rFonts w:hint="eastAsia"/>
        </w:rPr>
        <w:t>宁武县扶贫开发有限公司2020年统筹整合财政资金为7,600万元，均为部门整合资金。用于经济技术园区扶贫标准化车间建设项目、扶贫加工产业园扶贫标准化车间建设项目、光伏电站建设项目。</w:t>
      </w:r>
    </w:p>
    <w:p>
      <w:pPr>
        <w:pStyle w:val="6"/>
        <w:ind w:firstLine="560"/>
      </w:pPr>
      <w:r>
        <w:rPr>
          <w:rFonts w:hint="eastAsia"/>
        </w:rPr>
        <w:t>2.资金使用情况</w:t>
      </w:r>
    </w:p>
    <w:p>
      <w:pPr>
        <w:rPr>
          <w:rFonts w:ascii="宋体" w:hAnsi="宋体" w:eastAsia="宋体"/>
          <w:lang w:bidi="ar"/>
        </w:rPr>
      </w:pPr>
      <w:r>
        <w:rPr>
          <w:rFonts w:hint="eastAsia"/>
        </w:rPr>
        <w:t>宁武县扶贫开发有限公司2020年统筹整合财政资金为7,600万元，截至评价基准日（2020年12月31日）实际支出7,016.02万元，结余583.98万元。</w:t>
      </w:r>
      <w:r>
        <w:rPr>
          <w:rFonts w:hint="eastAsia" w:hAnsi="宋体" w:cs="仿宋"/>
          <w:color w:val="000000"/>
        </w:rPr>
        <w:t>具体项目资金使用情况</w:t>
      </w:r>
      <w:r>
        <w:rPr>
          <w:rFonts w:hint="eastAsia"/>
        </w:rPr>
        <w:t>详见表1-2。</w:t>
      </w:r>
    </w:p>
    <w:p>
      <w:pPr>
        <w:pStyle w:val="2"/>
        <w:spacing w:before="0"/>
        <w:ind w:firstLine="0" w:firstLineChars="0"/>
        <w:jc w:val="center"/>
        <w:rPr>
          <w:rFonts w:ascii="宋体" w:hAnsi="宋体" w:eastAsia="宋体"/>
          <w:lang w:bidi="ar"/>
        </w:rPr>
      </w:pPr>
      <w:r>
        <w:rPr>
          <w:rFonts w:hint="eastAsia" w:ascii="宋体" w:hAnsi="宋体" w:eastAsia="宋体"/>
          <w:lang w:bidi="ar"/>
        </w:rPr>
        <w:t>表1-2 宁武县扶贫开发有限公司2020年统筹整合资金使用统计表</w:t>
      </w:r>
    </w:p>
    <w:p>
      <w:pPr>
        <w:pStyle w:val="2"/>
        <w:spacing w:before="0" w:line="240" w:lineRule="auto"/>
        <w:ind w:firstLine="0" w:firstLineChars="0"/>
        <w:jc w:val="right"/>
        <w:rPr>
          <w:rFonts w:ascii="宋体" w:hAnsi="宋体" w:eastAsia="宋体"/>
        </w:rPr>
      </w:pPr>
      <w:r>
        <w:rPr>
          <w:rFonts w:hint="eastAsia" w:ascii="宋体" w:hAnsi="宋体" w:eastAsia="宋体"/>
          <w:lang w:bidi="ar"/>
        </w:rPr>
        <w:t>资金单位：万元</w:t>
      </w:r>
    </w:p>
    <w:tbl>
      <w:tblPr>
        <w:tblStyle w:val="16"/>
        <w:tblW w:w="8861" w:type="dxa"/>
        <w:jc w:val="center"/>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Layout w:type="fixed"/>
        <w:tblCellMar>
          <w:top w:w="0" w:type="dxa"/>
          <w:left w:w="0" w:type="dxa"/>
          <w:bottom w:w="0" w:type="dxa"/>
          <w:right w:w="0" w:type="dxa"/>
        </w:tblCellMar>
      </w:tblPr>
      <w:tblGrid>
        <w:gridCol w:w="699"/>
        <w:gridCol w:w="4530"/>
        <w:gridCol w:w="1200"/>
        <w:gridCol w:w="1280"/>
        <w:gridCol w:w="1152"/>
      </w:tblGrid>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blHeader/>
          <w:jc w:val="center"/>
        </w:trPr>
        <w:tc>
          <w:tcPr>
            <w:tcW w:w="699" w:type="dxa"/>
            <w:shd w:val="clear" w:color="auto" w:fill="BEBEBE"/>
            <w:tcMar>
              <w:top w:w="12" w:type="dxa"/>
              <w:left w:w="12" w:type="dxa"/>
              <w:right w:w="12" w:type="dxa"/>
            </w:tcMar>
            <w:vAlign w:val="center"/>
          </w:tcPr>
          <w:p>
            <w:pPr>
              <w:spacing w:line="240" w:lineRule="auto"/>
              <w:ind w:firstLine="0" w:firstLineChars="0"/>
              <w:jc w:val="center"/>
              <w:rPr>
                <w:rFonts w:ascii="宋体" w:hAnsi="宋体" w:eastAsia="宋体"/>
                <w:b/>
                <w:bCs/>
                <w:sz w:val="24"/>
                <w:lang w:bidi="ar"/>
              </w:rPr>
            </w:pPr>
            <w:r>
              <w:rPr>
                <w:rFonts w:hint="eastAsia" w:ascii="宋体" w:hAnsi="宋体" w:eastAsia="宋体"/>
                <w:b/>
                <w:bCs/>
                <w:sz w:val="24"/>
                <w:lang w:bidi="ar"/>
              </w:rPr>
              <w:t>序号</w:t>
            </w:r>
          </w:p>
        </w:tc>
        <w:tc>
          <w:tcPr>
            <w:tcW w:w="4530" w:type="dxa"/>
            <w:shd w:val="clear" w:color="auto" w:fill="BEBEBE"/>
            <w:tcMar>
              <w:top w:w="12" w:type="dxa"/>
              <w:left w:w="12" w:type="dxa"/>
              <w:right w:w="12" w:type="dxa"/>
            </w:tcMar>
            <w:vAlign w:val="center"/>
          </w:tcPr>
          <w:p>
            <w:pPr>
              <w:spacing w:line="240" w:lineRule="auto"/>
              <w:ind w:firstLine="0" w:firstLineChars="0"/>
              <w:jc w:val="center"/>
              <w:rPr>
                <w:rFonts w:ascii="宋体" w:hAnsi="宋体" w:eastAsia="宋体"/>
                <w:b/>
                <w:bCs/>
                <w:sz w:val="24"/>
                <w:lang w:bidi="ar"/>
              </w:rPr>
            </w:pPr>
            <w:r>
              <w:rPr>
                <w:rFonts w:hint="eastAsia" w:ascii="宋体" w:hAnsi="宋体" w:eastAsia="宋体"/>
                <w:b/>
                <w:bCs/>
                <w:sz w:val="24"/>
                <w:lang w:bidi="ar"/>
              </w:rPr>
              <w:t>项目名称</w:t>
            </w:r>
          </w:p>
        </w:tc>
        <w:tc>
          <w:tcPr>
            <w:tcW w:w="1200" w:type="dxa"/>
            <w:shd w:val="clear" w:color="auto" w:fill="BEBEBE"/>
            <w:tcMar>
              <w:top w:w="12" w:type="dxa"/>
              <w:left w:w="12" w:type="dxa"/>
              <w:right w:w="12" w:type="dxa"/>
            </w:tcMar>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lang w:bidi="ar"/>
              </w:rPr>
              <w:t>预算数</w:t>
            </w:r>
          </w:p>
        </w:tc>
        <w:tc>
          <w:tcPr>
            <w:tcW w:w="1280" w:type="dxa"/>
            <w:shd w:val="clear" w:color="auto" w:fill="BEBEBE"/>
            <w:tcMar>
              <w:top w:w="12" w:type="dxa"/>
              <w:left w:w="12" w:type="dxa"/>
              <w:right w:w="12" w:type="dxa"/>
            </w:tcMar>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lang w:bidi="ar"/>
              </w:rPr>
              <w:t>支出数</w:t>
            </w:r>
          </w:p>
        </w:tc>
        <w:tc>
          <w:tcPr>
            <w:tcW w:w="1152" w:type="dxa"/>
            <w:shd w:val="clear" w:color="auto" w:fill="BEBEBE"/>
            <w:tcMar>
              <w:top w:w="12" w:type="dxa"/>
              <w:left w:w="12" w:type="dxa"/>
              <w:right w:w="12" w:type="dxa"/>
            </w:tcMar>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lang w:bidi="ar"/>
              </w:rPr>
              <w:t>结余数</w:t>
            </w:r>
          </w:p>
        </w:tc>
      </w:tr>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699" w:type="dxa"/>
            <w:tcMar>
              <w:top w:w="12" w:type="dxa"/>
              <w:left w:w="12" w:type="dxa"/>
              <w:right w:w="12" w:type="dxa"/>
            </w:tcMar>
            <w:vAlign w:val="center"/>
          </w:tcPr>
          <w:p>
            <w:pPr>
              <w:tabs>
                <w:tab w:val="left" w:pos="540"/>
              </w:tabs>
              <w:spacing w:line="240" w:lineRule="auto"/>
              <w:ind w:firstLine="0" w:firstLineChars="0"/>
              <w:jc w:val="center"/>
              <w:rPr>
                <w:rFonts w:ascii="宋体" w:hAnsi="宋体" w:eastAsia="宋体"/>
                <w:sz w:val="24"/>
                <w:lang w:bidi="ar"/>
              </w:rPr>
            </w:pPr>
            <w:r>
              <w:rPr>
                <w:rFonts w:hint="eastAsia" w:ascii="宋体" w:hAnsi="宋体" w:eastAsia="宋体"/>
                <w:sz w:val="24"/>
                <w:lang w:bidi="ar"/>
              </w:rPr>
              <w:t>1</w:t>
            </w:r>
          </w:p>
        </w:tc>
        <w:tc>
          <w:tcPr>
            <w:tcW w:w="4530"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经济技术园区扶贫</w:t>
            </w:r>
            <w:r>
              <w:rPr>
                <w:rFonts w:ascii="宋体" w:hAnsi="宋体" w:eastAsia="宋体"/>
                <w:sz w:val="24"/>
                <w:lang w:bidi="ar"/>
              </w:rPr>
              <w:t>标准化车间建设项目</w:t>
            </w:r>
          </w:p>
        </w:tc>
        <w:tc>
          <w:tcPr>
            <w:tcW w:w="1200"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2,600</w:t>
            </w:r>
          </w:p>
        </w:tc>
        <w:tc>
          <w:tcPr>
            <w:tcW w:w="1280" w:type="dxa"/>
            <w:tcMar>
              <w:top w:w="12" w:type="dxa"/>
              <w:left w:w="12" w:type="dxa"/>
              <w:right w:w="12" w:type="dxa"/>
            </w:tcMar>
            <w:vAlign w:val="center"/>
          </w:tcPr>
          <w:p>
            <w:pPr>
              <w:widowControl/>
              <w:spacing w:line="240" w:lineRule="auto"/>
              <w:ind w:firstLine="0" w:firstLineChars="0"/>
              <w:jc w:val="center"/>
              <w:textAlignment w:val="center"/>
              <w:rPr>
                <w:rFonts w:ascii="宋体" w:hAnsi="宋体" w:eastAsia="宋体" w:cs="宋体"/>
                <w:b/>
                <w:bCs/>
                <w:color w:val="000000"/>
                <w:sz w:val="22"/>
                <w:szCs w:val="22"/>
              </w:rPr>
            </w:pPr>
            <w:r>
              <w:rPr>
                <w:rFonts w:hint="eastAsia" w:ascii="宋体" w:hAnsi="宋体" w:eastAsia="宋体"/>
                <w:sz w:val="24"/>
                <w:lang w:bidi="ar"/>
              </w:rPr>
              <w:t>2,117.31</w:t>
            </w:r>
          </w:p>
        </w:tc>
        <w:tc>
          <w:tcPr>
            <w:tcW w:w="1152"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482.69</w:t>
            </w:r>
          </w:p>
        </w:tc>
      </w:tr>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699"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2</w:t>
            </w:r>
          </w:p>
        </w:tc>
        <w:tc>
          <w:tcPr>
            <w:tcW w:w="4530"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扶贫加工产业园扶贫</w:t>
            </w:r>
            <w:r>
              <w:rPr>
                <w:rFonts w:ascii="宋体" w:hAnsi="宋体" w:eastAsia="宋体"/>
                <w:sz w:val="24"/>
                <w:lang w:bidi="ar"/>
              </w:rPr>
              <w:t>标准化车间建设项目</w:t>
            </w:r>
          </w:p>
        </w:tc>
        <w:tc>
          <w:tcPr>
            <w:tcW w:w="1200"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1,000</w:t>
            </w:r>
          </w:p>
        </w:tc>
        <w:tc>
          <w:tcPr>
            <w:tcW w:w="1280" w:type="dxa"/>
            <w:tcMar>
              <w:top w:w="12" w:type="dxa"/>
              <w:left w:w="12" w:type="dxa"/>
              <w:right w:w="12" w:type="dxa"/>
            </w:tcMar>
            <w:vAlign w:val="center"/>
          </w:tcPr>
          <w:p>
            <w:pPr>
              <w:widowControl/>
              <w:spacing w:line="240" w:lineRule="auto"/>
              <w:ind w:firstLine="0" w:firstLineChars="0"/>
              <w:jc w:val="center"/>
              <w:textAlignment w:val="center"/>
              <w:rPr>
                <w:rFonts w:ascii="宋体" w:hAnsi="宋体" w:eastAsia="宋体" w:cs="宋体"/>
                <w:b/>
                <w:bCs/>
                <w:color w:val="000000"/>
                <w:sz w:val="22"/>
                <w:szCs w:val="22"/>
              </w:rPr>
            </w:pPr>
            <w:r>
              <w:rPr>
                <w:rFonts w:hint="eastAsia" w:ascii="宋体" w:hAnsi="宋体" w:eastAsia="宋体" w:cs="Times New Roman"/>
                <w:sz w:val="24"/>
              </w:rPr>
              <w:t>1,000</w:t>
            </w:r>
          </w:p>
        </w:tc>
        <w:tc>
          <w:tcPr>
            <w:tcW w:w="1152"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0</w:t>
            </w:r>
          </w:p>
        </w:tc>
      </w:tr>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699" w:type="dxa"/>
            <w:tcMar>
              <w:top w:w="12" w:type="dxa"/>
              <w:left w:w="12" w:type="dxa"/>
              <w:right w:w="12" w:type="dxa"/>
            </w:tcMar>
            <w:vAlign w:val="center"/>
          </w:tcPr>
          <w:p>
            <w:pPr>
              <w:spacing w:line="240" w:lineRule="auto"/>
              <w:ind w:firstLine="0" w:firstLineChars="0"/>
              <w:jc w:val="center"/>
              <w:rPr>
                <w:rFonts w:ascii="宋体" w:hAnsi="宋体" w:eastAsia="宋体" w:cs="仿宋_GB2312"/>
                <w:sz w:val="24"/>
                <w:lang w:bidi="ar"/>
              </w:rPr>
            </w:pPr>
            <w:r>
              <w:rPr>
                <w:rFonts w:hint="eastAsia" w:ascii="宋体" w:hAnsi="宋体" w:eastAsia="宋体" w:cs="仿宋_GB2312"/>
                <w:sz w:val="24"/>
                <w:lang w:bidi="ar"/>
              </w:rPr>
              <w:t>3</w:t>
            </w:r>
          </w:p>
        </w:tc>
        <w:tc>
          <w:tcPr>
            <w:tcW w:w="4530"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光伏电站建设项目</w:t>
            </w:r>
          </w:p>
        </w:tc>
        <w:tc>
          <w:tcPr>
            <w:tcW w:w="1200"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4,000</w:t>
            </w:r>
          </w:p>
        </w:tc>
        <w:tc>
          <w:tcPr>
            <w:tcW w:w="1280"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3,898.71</w:t>
            </w:r>
          </w:p>
        </w:tc>
        <w:tc>
          <w:tcPr>
            <w:tcW w:w="1152"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101.29</w:t>
            </w:r>
          </w:p>
        </w:tc>
      </w:tr>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5229" w:type="dxa"/>
            <w:gridSpan w:val="2"/>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合计</w:t>
            </w:r>
          </w:p>
        </w:tc>
        <w:tc>
          <w:tcPr>
            <w:tcW w:w="1200"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7,600</w:t>
            </w:r>
          </w:p>
        </w:tc>
        <w:tc>
          <w:tcPr>
            <w:tcW w:w="1280"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7,016.02</w:t>
            </w:r>
          </w:p>
        </w:tc>
        <w:tc>
          <w:tcPr>
            <w:tcW w:w="1152"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ascii="宋体" w:hAnsi="宋体" w:eastAsia="宋体"/>
                <w:sz w:val="24"/>
                <w:lang w:bidi="ar"/>
              </w:rPr>
              <w:t>583.9</w:t>
            </w:r>
            <w:r>
              <w:rPr>
                <w:rFonts w:hint="eastAsia" w:ascii="宋体" w:hAnsi="宋体" w:eastAsia="宋体"/>
                <w:sz w:val="24"/>
                <w:lang w:bidi="ar"/>
              </w:rPr>
              <w:t>8</w:t>
            </w:r>
          </w:p>
        </w:tc>
      </w:tr>
    </w:tbl>
    <w:p>
      <w:pPr>
        <w:pStyle w:val="5"/>
        <w:spacing w:before="197" w:beforeLines="50"/>
        <w:ind w:firstLine="560"/>
      </w:pPr>
      <w:bookmarkStart w:id="10" w:name="_Toc32546"/>
      <w:bookmarkStart w:id="11" w:name="_Toc11192"/>
      <w:bookmarkStart w:id="12" w:name="_Toc9016"/>
      <w:r>
        <w:rPr>
          <w:rFonts w:hint="eastAsia"/>
        </w:rPr>
        <w:t>（四）项目绩效目标</w:t>
      </w:r>
      <w:bookmarkEnd w:id="10"/>
      <w:bookmarkEnd w:id="11"/>
    </w:p>
    <w:p>
      <w:pPr>
        <w:outlineLvl w:val="2"/>
        <w:rPr>
          <w:b/>
          <w:bCs/>
          <w:szCs w:val="32"/>
        </w:rPr>
      </w:pPr>
      <w:r>
        <w:rPr>
          <w:rFonts w:hint="eastAsia"/>
          <w:b/>
          <w:bCs/>
          <w:szCs w:val="32"/>
        </w:rPr>
        <w:t>1.总体目标</w:t>
      </w:r>
    </w:p>
    <w:p>
      <w:pPr>
        <w:pStyle w:val="2"/>
        <w:spacing w:before="0"/>
      </w:pPr>
      <w:r>
        <w:rPr>
          <w:rFonts w:hint="eastAsia"/>
        </w:rPr>
        <w:t>贯彻落实《中共中央国务院关于打赢脱贫攻坚战的决定》文件精神，优化财政涉农资金供给机制，进一步提高资金使用效益，实施精准扶贫、精准脱贫，保障贫困县集中资源打赢脱贫攻坚战，确保如期完成脱贫攻坚任务。</w:t>
      </w:r>
    </w:p>
    <w:p>
      <w:pPr>
        <w:outlineLvl w:val="2"/>
        <w:rPr>
          <w:b/>
          <w:bCs/>
          <w:szCs w:val="32"/>
        </w:rPr>
      </w:pPr>
      <w:r>
        <w:rPr>
          <w:rFonts w:hint="eastAsia"/>
          <w:b/>
          <w:bCs/>
          <w:szCs w:val="32"/>
        </w:rPr>
        <w:t>2.具体目标</w:t>
      </w:r>
    </w:p>
    <w:p>
      <w:pPr>
        <w:rPr>
          <w:rFonts w:hAnsi="仿宋_GB2312" w:cs="仿宋_GB2312"/>
        </w:rPr>
      </w:pPr>
      <w:r>
        <w:rPr>
          <w:rFonts w:hint="eastAsia" w:hAnsi="仿宋_GB2312" w:cs="仿宋_GB2312"/>
        </w:rPr>
        <w:t>（1）建设98个联村光伏电站、总容量75300千瓦，光伏电站466个；</w:t>
      </w:r>
    </w:p>
    <w:p>
      <w:pPr>
        <w:rPr>
          <w:rFonts w:hAnsi="仿宋_GB2312" w:cs="仿宋_GB2312"/>
        </w:rPr>
      </w:pPr>
      <w:r>
        <w:rPr>
          <w:rFonts w:hint="eastAsia" w:hAnsi="仿宋_GB2312" w:cs="仿宋_GB2312"/>
        </w:rPr>
        <w:t>（2）建设轻钢结构车间一层，建筑面积8856㎡；</w:t>
      </w:r>
    </w:p>
    <w:p>
      <w:pPr>
        <w:rPr>
          <w:rFonts w:hAnsi="仿宋_GB2312" w:cs="仿宋_GB2312"/>
        </w:rPr>
      </w:pPr>
      <w:r>
        <w:rPr>
          <w:rFonts w:hint="eastAsia" w:hAnsi="仿宋_GB2312" w:cs="仿宋_GB2312"/>
        </w:rPr>
        <w:t>（3）建设机动停车位33个，自行车棚288㎡，绿化面积6086.70㎡，配套建设消防管网、水泵房等；</w:t>
      </w:r>
    </w:p>
    <w:p>
      <w:pPr>
        <w:rPr>
          <w:rFonts w:hAnsi="仿宋_GB2312" w:cs="仿宋_GB2312"/>
        </w:rPr>
      </w:pPr>
      <w:r>
        <w:rPr>
          <w:rFonts w:hint="eastAsia" w:hAnsi="仿宋_GB2312" w:cs="仿宋_GB2312"/>
        </w:rPr>
        <w:t>（4）新建餐厅及室外配套设施；</w:t>
      </w:r>
    </w:p>
    <w:p>
      <w:pPr>
        <w:rPr>
          <w:rFonts w:hAnsi="仿宋_GB2312" w:cs="仿宋_GB2312"/>
        </w:rPr>
      </w:pPr>
      <w:r>
        <w:rPr>
          <w:rFonts w:hint="eastAsia" w:hAnsi="仿宋_GB2312" w:cs="仿宋_GB2312"/>
        </w:rPr>
        <w:t>（5）农业园区内新建扶贫车间、室外配套工程；</w:t>
      </w:r>
    </w:p>
    <w:p>
      <w:pPr>
        <w:rPr>
          <w:rFonts w:hAnsi="仿宋_GB2312" w:cs="仿宋_GB2312"/>
        </w:rPr>
      </w:pPr>
      <w:r>
        <w:rPr>
          <w:rFonts w:hint="eastAsia" w:hAnsi="仿宋_GB2312" w:cs="仿宋_GB2312"/>
        </w:rPr>
        <w:t>（6）刘家园村新建扶贫车间、职工宿舍、办公场所、展厅及室外配套工程；</w:t>
      </w:r>
    </w:p>
    <w:p>
      <w:pPr>
        <w:rPr>
          <w:rFonts w:hAnsi="仿宋_GB2312" w:cs="仿宋_GB2312"/>
        </w:rPr>
      </w:pPr>
      <w:r>
        <w:rPr>
          <w:rFonts w:hint="eastAsia" w:hAnsi="仿宋_GB2312" w:cs="仿宋_GB2312"/>
        </w:rPr>
        <w:t>（7）转型项目发展园区新建扶贫车间及室外配套工程；</w:t>
      </w:r>
    </w:p>
    <w:p>
      <w:pPr>
        <w:rPr>
          <w:rFonts w:hAnsi="仿宋_GB2312" w:cs="仿宋_GB2312"/>
        </w:rPr>
      </w:pPr>
      <w:r>
        <w:rPr>
          <w:rFonts w:hint="eastAsia" w:hAnsi="仿宋_GB2312" w:cs="仿宋_GB2312"/>
        </w:rPr>
        <w:t>（8）工业园区新建扶贫车间、集办公区、展厅、宿舍为一体的综合楼以及室外配套工程。</w:t>
      </w:r>
    </w:p>
    <w:p>
      <w:pPr>
        <w:pStyle w:val="4"/>
        <w:ind w:firstLine="560"/>
      </w:pPr>
      <w:bookmarkStart w:id="13" w:name="_Toc6782"/>
      <w:r>
        <w:rPr>
          <w:rFonts w:hint="eastAsia"/>
        </w:rPr>
        <w:t>二、绩效评价工作</w:t>
      </w:r>
      <w:r>
        <w:rPr>
          <w:rFonts w:hint="eastAsia"/>
          <w:lang w:val="en-US" w:eastAsia="zh-CN"/>
        </w:rPr>
        <w:t>开展</w:t>
      </w:r>
      <w:r>
        <w:rPr>
          <w:rFonts w:hint="eastAsia"/>
        </w:rPr>
        <w:t>情况</w:t>
      </w:r>
      <w:bookmarkEnd w:id="12"/>
      <w:bookmarkEnd w:id="13"/>
    </w:p>
    <w:p>
      <w:pPr>
        <w:pStyle w:val="5"/>
        <w:ind w:firstLine="560"/>
      </w:pPr>
      <w:bookmarkStart w:id="14" w:name="_Toc453771161"/>
      <w:bookmarkStart w:id="15" w:name="_Toc26925"/>
      <w:bookmarkStart w:id="16" w:name="_Toc25672"/>
      <w:bookmarkStart w:id="17" w:name="_Toc16373"/>
      <w:bookmarkStart w:id="18" w:name="_Toc5521"/>
      <w:bookmarkStart w:id="19" w:name="_Toc26740"/>
      <w:bookmarkStart w:id="20" w:name="_Toc15520"/>
      <w:bookmarkStart w:id="21" w:name="_Toc7828"/>
      <w:bookmarkStart w:id="22" w:name="_Toc12882"/>
      <w:bookmarkStart w:id="23" w:name="_Toc29023"/>
      <w:bookmarkStart w:id="24" w:name="_Toc453771162"/>
      <w:bookmarkStart w:id="25" w:name="_Toc1863"/>
      <w:bookmarkStart w:id="26" w:name="_Toc18140"/>
      <w:bookmarkStart w:id="27" w:name="_Toc5323"/>
      <w:bookmarkStart w:id="28" w:name="_Toc26830"/>
      <w:r>
        <w:rPr>
          <w:rFonts w:hint="eastAsia"/>
        </w:rPr>
        <w:t>（一）评价目</w:t>
      </w:r>
      <w:bookmarkEnd w:id="14"/>
      <w:bookmarkEnd w:id="15"/>
      <w:r>
        <w:rPr>
          <w:rFonts w:hint="eastAsia"/>
        </w:rPr>
        <w:t>的</w:t>
      </w:r>
      <w:bookmarkEnd w:id="16"/>
      <w:bookmarkEnd w:id="17"/>
      <w:bookmarkEnd w:id="18"/>
      <w:bookmarkEnd w:id="19"/>
      <w:bookmarkEnd w:id="20"/>
      <w:bookmarkEnd w:id="21"/>
    </w:p>
    <w:bookmarkEnd w:id="22"/>
    <w:bookmarkEnd w:id="23"/>
    <w:bookmarkEnd w:id="24"/>
    <w:bookmarkEnd w:id="25"/>
    <w:bookmarkEnd w:id="26"/>
    <w:bookmarkEnd w:id="27"/>
    <w:bookmarkEnd w:id="28"/>
    <w:p>
      <w:pPr>
        <w:pStyle w:val="14"/>
        <w:widowControl/>
        <w:spacing w:beforeAutospacing="0" w:afterAutospacing="0"/>
        <w:jc w:val="both"/>
        <w:rPr>
          <w:rFonts w:hAnsi="仿宋_GB2312" w:cs="仿宋_GB2312"/>
          <w:color w:val="000000"/>
          <w:sz w:val="28"/>
          <w:szCs w:val="27"/>
        </w:rPr>
      </w:pPr>
      <w:bookmarkStart w:id="29" w:name="_Toc1799"/>
      <w:bookmarkStart w:id="30" w:name="_Toc13768"/>
      <w:bookmarkStart w:id="31" w:name="_Toc21628"/>
      <w:bookmarkStart w:id="32" w:name="_Toc25687"/>
      <w:bookmarkStart w:id="33" w:name="_Toc28304"/>
      <w:bookmarkStart w:id="34" w:name="_Toc3277"/>
      <w:bookmarkStart w:id="35" w:name="_Toc453771164"/>
      <w:bookmarkStart w:id="36" w:name="_Toc395"/>
      <w:bookmarkStart w:id="37" w:name="_Toc21347"/>
      <w:bookmarkStart w:id="38" w:name="_Toc27745"/>
      <w:bookmarkStart w:id="39" w:name="_Toc2784"/>
      <w:bookmarkStart w:id="40" w:name="_Toc3630"/>
      <w:bookmarkStart w:id="41" w:name="_Toc1535"/>
      <w:bookmarkStart w:id="42" w:name="_Toc18405"/>
      <w:r>
        <w:rPr>
          <w:rFonts w:hint="eastAsia" w:hAnsi="仿宋_GB2312" w:cs="仿宋_GB2312"/>
          <w:color w:val="000000"/>
          <w:sz w:val="28"/>
          <w:szCs w:val="27"/>
        </w:rPr>
        <w:t>本次绩效评价依据宁武县财政局《关于开展2020年度项目支出绩效评价工作的通知》（宁财字</w:t>
      </w:r>
      <w:r>
        <w:rPr>
          <w:rFonts w:hint="eastAsia" w:cstheme="minorBidi"/>
          <w:kern w:val="2"/>
          <w:sz w:val="28"/>
        </w:rPr>
        <w:t>〔2021〕13号</w:t>
      </w:r>
      <w:r>
        <w:rPr>
          <w:rFonts w:hint="eastAsia" w:hAnsi="仿宋_GB2312" w:cs="仿宋_GB2312"/>
          <w:color w:val="000000"/>
          <w:sz w:val="28"/>
          <w:szCs w:val="27"/>
        </w:rPr>
        <w:t>），对宁武县扶贫开发有限公司2020年统筹整合财政资金进行绩效评价。通过预算绩效评价，及时发现问题，总结经验，提出改进意见；一是为政府相关决策及下一年度预算安排提供依据；二是为扶贫开发公司掌握项目动态、优化项目信息反馈机制、加强项目监管，进一步修改完善宁武县扶贫开发有限公司2020年统筹整合财政资金政策提供参考。</w:t>
      </w:r>
    </w:p>
    <w:p>
      <w:pPr>
        <w:pStyle w:val="5"/>
        <w:ind w:firstLine="560"/>
      </w:pPr>
      <w:bookmarkStart w:id="43" w:name="_Toc7493"/>
      <w:r>
        <w:rPr>
          <w:rFonts w:hint="eastAsia"/>
        </w:rPr>
        <w:t>（二）评价对象和范围</w:t>
      </w:r>
      <w:bookmarkEnd w:id="43"/>
    </w:p>
    <w:p>
      <w:r>
        <w:rPr>
          <w:rFonts w:hint="eastAsia"/>
        </w:rPr>
        <w:t>本次绩效评价的对象是宁武县扶贫开发有限公司2020年统筹整合财政资金7,600万元，与此同时，对财政资金的监督、管理使用进行评价，根据评价结果，提出相关政策性意见。</w:t>
      </w:r>
    </w:p>
    <w:p>
      <w:r>
        <w:rPr>
          <w:rFonts w:hint="eastAsia"/>
        </w:rPr>
        <w:t>绩效评价范围为宁武县扶贫开发有限公司2020年统筹整合财政资金产生的绩效以及为产生绩效所经历的各环节过程，具体绩效评价范围包括项目决策、过程、产出、效益。</w:t>
      </w:r>
    </w:p>
    <w:bookmarkEnd w:id="29"/>
    <w:p>
      <w:pPr>
        <w:pStyle w:val="5"/>
        <w:ind w:firstLine="560"/>
      </w:pPr>
      <w:bookmarkStart w:id="44" w:name="_Toc11771"/>
      <w:bookmarkStart w:id="45" w:name="_Toc12501"/>
      <w:bookmarkStart w:id="46" w:name="_Toc32322"/>
      <w:r>
        <w:rPr>
          <w:rFonts w:hint="eastAsia"/>
        </w:rPr>
        <w:t>（三）评价基准日</w:t>
      </w:r>
      <w:bookmarkEnd w:id="44"/>
      <w:bookmarkEnd w:id="45"/>
      <w:bookmarkEnd w:id="46"/>
    </w:p>
    <w:p>
      <w:pPr>
        <w:rPr>
          <w:rFonts w:hAnsi="仿宋_GB2312" w:cs="仿宋_GB2312"/>
        </w:rPr>
      </w:pPr>
      <w:r>
        <w:rPr>
          <w:rFonts w:hint="eastAsia" w:hAnsi="仿宋_GB2312" w:cs="仿宋_GB2312"/>
        </w:rPr>
        <w:t>评价基准日：2020年12月31日。</w:t>
      </w:r>
    </w:p>
    <w:p>
      <w:pPr>
        <w:pStyle w:val="5"/>
        <w:ind w:firstLine="560"/>
      </w:pPr>
      <w:bookmarkStart w:id="47" w:name="_Toc24217"/>
      <w:bookmarkStart w:id="48" w:name="_Toc17620"/>
      <w:bookmarkStart w:id="49" w:name="_Toc28002"/>
      <w:r>
        <w:rPr>
          <w:rFonts w:hint="eastAsia"/>
        </w:rPr>
        <w:t>（四）绩效评价指标体系</w:t>
      </w:r>
      <w:bookmarkEnd w:id="47"/>
      <w:bookmarkEnd w:id="48"/>
      <w:bookmarkEnd w:id="49"/>
    </w:p>
    <w:p>
      <w:pPr>
        <w:pStyle w:val="6"/>
        <w:ind w:firstLine="560"/>
      </w:pPr>
      <w:r>
        <w:rPr>
          <w:rFonts w:hint="eastAsia"/>
        </w:rPr>
        <w:t>1.指标体系设计思路</w:t>
      </w:r>
    </w:p>
    <w:p>
      <w:pPr>
        <w:pStyle w:val="14"/>
        <w:widowControl/>
        <w:spacing w:beforeAutospacing="0" w:afterAutospacing="0"/>
        <w:jc w:val="both"/>
        <w:rPr>
          <w:rFonts w:hAnsi="仿宋_GB2312" w:cs="仿宋_GB2312"/>
          <w:color w:val="000000"/>
          <w:sz w:val="28"/>
          <w:szCs w:val="27"/>
        </w:rPr>
      </w:pPr>
      <w:r>
        <w:rPr>
          <w:rFonts w:hint="eastAsia" w:hAnsi="仿宋_GB2312" w:cs="仿宋_GB2312"/>
          <w:color w:val="000000"/>
          <w:sz w:val="28"/>
          <w:szCs w:val="27"/>
        </w:rPr>
        <w:t>按照财政部《项目支出绩效评价管理办法》（财预〔2020〕10号）中的项目支出绩效评价指标体系框架（参考）、山西省《省级项目支出绩效评价管理办法》（晋财绩〔2020〕17号）中的项目支出绩效评价指标体系框架（参考），遵循“突出项目资金、兼顾政策内容”的评价思路，结合宁武县扶贫开发有限公司2020年统筹整合财政资金的实际情况，本着全面反映宁武县扶贫开发有限公司2020年统筹整合财政资金的预算绩效管理情况，本着尽可能细化、量化、可操作的原则，结合计划标准、历史标准等制定指标的目标值，兼顾相关政策内容，设计形成了宁武县扶贫开发有限公司2020年统筹整合财政资金支出绩效评价指标体系，从决策类（包括项目立项、绩效目标、资金投入）、过程类（包括资金管理、组织实施）、产出类（包括产出数量、产出质量、产出时效、产出成本）、效益类（包括项目效益、满意度）四个维度进行评价。</w:t>
      </w:r>
    </w:p>
    <w:p>
      <w:pPr>
        <w:pStyle w:val="6"/>
        <w:ind w:firstLine="560"/>
        <w:rPr>
          <w:lang w:val="zh-CN"/>
        </w:rPr>
      </w:pPr>
      <w:r>
        <w:rPr>
          <w:rFonts w:hint="eastAsia"/>
        </w:rPr>
        <w:t>2</w:t>
      </w:r>
      <w:r>
        <w:rPr>
          <w:rFonts w:hint="eastAsia"/>
          <w:lang w:val="zh-CN"/>
        </w:rPr>
        <w:t>.权重设计思路</w:t>
      </w:r>
    </w:p>
    <w:p>
      <w:pPr>
        <w:pStyle w:val="14"/>
        <w:spacing w:beforeAutospacing="0" w:afterAutospacing="0"/>
        <w:jc w:val="both"/>
        <w:rPr>
          <w:rFonts w:hAnsi="仿宋_GB2312" w:cs="仿宋_GB2312"/>
          <w:color w:val="000000"/>
          <w:sz w:val="28"/>
          <w:szCs w:val="27"/>
        </w:rPr>
      </w:pPr>
      <w:r>
        <w:rPr>
          <w:rFonts w:hint="eastAsia" w:hAnsi="仿宋_GB2312" w:cs="仿宋_GB2312"/>
          <w:sz w:val="28"/>
          <w:szCs w:val="28"/>
          <w:lang w:val="zh-CN" w:bidi="zh-CN"/>
        </w:rPr>
        <w:t>本次</w:t>
      </w:r>
      <w:r>
        <w:rPr>
          <w:rFonts w:hint="eastAsia" w:hAnsi="仿宋_GB2312" w:cs="仿宋_GB2312"/>
          <w:sz w:val="28"/>
          <w:szCs w:val="28"/>
          <w:lang w:bidi="zh-CN"/>
        </w:rPr>
        <w:t>绩效评价一级指标</w:t>
      </w:r>
      <w:r>
        <w:rPr>
          <w:rFonts w:hint="eastAsia" w:hAnsi="仿宋_GB2312" w:cs="仿宋_GB2312"/>
          <w:sz w:val="28"/>
          <w:szCs w:val="28"/>
          <w:lang w:val="zh-CN" w:bidi="zh-CN"/>
        </w:rPr>
        <w:t>权重设计</w:t>
      </w:r>
      <w:r>
        <w:rPr>
          <w:rFonts w:hint="eastAsia" w:hAnsi="仿宋_GB2312" w:cs="仿宋_GB2312"/>
          <w:sz w:val="28"/>
          <w:szCs w:val="28"/>
          <w:lang w:bidi="zh-CN"/>
        </w:rPr>
        <w:t>按照财政部</w:t>
      </w:r>
      <w:r>
        <w:rPr>
          <w:rFonts w:hint="eastAsia" w:hAnsi="仿宋_GB2312" w:cs="仿宋_GB2312"/>
          <w:color w:val="000000"/>
          <w:sz w:val="28"/>
          <w:szCs w:val="28"/>
        </w:rPr>
        <w:t>《项目支出绩效评价管理办法》（财预〔2020〕10号）和山西省财政厅《省级项目支出绩效评价管理办法》（晋财绩〔2020〕17号）</w:t>
      </w:r>
      <w:r>
        <w:rPr>
          <w:rFonts w:hint="eastAsia" w:hAnsi="仿宋_GB2312" w:cs="仿宋_GB2312"/>
          <w:sz w:val="28"/>
          <w:szCs w:val="28"/>
          <w:lang w:bidi="zh-CN"/>
        </w:rPr>
        <w:t>文件要求执行</w:t>
      </w:r>
      <w:r>
        <w:rPr>
          <w:rFonts w:hint="eastAsia" w:hAnsi="仿宋_GB2312" w:cs="仿宋_GB2312"/>
          <w:sz w:val="28"/>
          <w:szCs w:val="28"/>
          <w:lang w:val="zh-CN" w:bidi="zh-CN"/>
        </w:rPr>
        <w:t>，最终确定</w:t>
      </w:r>
      <w:r>
        <w:rPr>
          <w:rFonts w:hint="eastAsia" w:hAnsi="仿宋_GB2312" w:cs="仿宋_GB2312"/>
          <w:sz w:val="28"/>
          <w:szCs w:val="28"/>
          <w:lang w:bidi="zh-CN"/>
        </w:rPr>
        <w:t>决策</w:t>
      </w:r>
      <w:r>
        <w:rPr>
          <w:rFonts w:hint="eastAsia" w:hAnsi="仿宋_GB2312" w:cs="仿宋_GB2312"/>
          <w:sz w:val="28"/>
          <w:szCs w:val="28"/>
          <w:lang w:val="zh-CN" w:bidi="zh-CN"/>
        </w:rPr>
        <w:t>类指标权重占比</w:t>
      </w:r>
      <w:r>
        <w:rPr>
          <w:rFonts w:hint="eastAsia" w:hAnsi="仿宋_GB2312" w:cs="仿宋_GB2312"/>
          <w:sz w:val="28"/>
          <w:szCs w:val="28"/>
          <w:lang w:bidi="zh-CN"/>
        </w:rPr>
        <w:t>2</w:t>
      </w:r>
      <w:r>
        <w:rPr>
          <w:rFonts w:hint="eastAsia" w:hAnsi="仿宋_GB2312" w:cs="仿宋_GB2312"/>
          <w:sz w:val="28"/>
          <w:szCs w:val="28"/>
          <w:lang w:val="zh-CN" w:bidi="zh-CN"/>
        </w:rPr>
        <w:t>0%，过程类指标权重占比</w:t>
      </w:r>
      <w:r>
        <w:rPr>
          <w:rFonts w:hint="eastAsia" w:hAnsi="仿宋_GB2312" w:cs="仿宋_GB2312"/>
          <w:sz w:val="28"/>
          <w:szCs w:val="28"/>
          <w:lang w:bidi="zh-CN"/>
        </w:rPr>
        <w:t>2</w:t>
      </w:r>
      <w:r>
        <w:rPr>
          <w:rFonts w:hint="eastAsia" w:hAnsi="仿宋_GB2312" w:cs="仿宋_GB2312"/>
          <w:sz w:val="28"/>
          <w:szCs w:val="28"/>
          <w:lang w:val="zh-CN" w:bidi="zh-CN"/>
        </w:rPr>
        <w:t>0%，产出类指标权重占比</w:t>
      </w:r>
      <w:r>
        <w:rPr>
          <w:rFonts w:hint="eastAsia" w:hAnsi="仿宋_GB2312" w:cs="仿宋_GB2312"/>
          <w:sz w:val="28"/>
          <w:szCs w:val="28"/>
          <w:lang w:bidi="zh-CN"/>
        </w:rPr>
        <w:t>3</w:t>
      </w:r>
      <w:r>
        <w:rPr>
          <w:rFonts w:hint="eastAsia" w:hAnsi="仿宋_GB2312" w:cs="仿宋_GB2312"/>
          <w:sz w:val="28"/>
          <w:szCs w:val="28"/>
          <w:lang w:val="zh-CN" w:bidi="zh-CN"/>
        </w:rPr>
        <w:t>0%，效益类指标权重占比</w:t>
      </w:r>
      <w:r>
        <w:rPr>
          <w:rFonts w:hint="eastAsia" w:hAnsi="仿宋_GB2312" w:cs="仿宋_GB2312"/>
          <w:sz w:val="28"/>
          <w:szCs w:val="28"/>
          <w:lang w:bidi="zh-CN"/>
        </w:rPr>
        <w:t>3</w:t>
      </w:r>
      <w:r>
        <w:rPr>
          <w:rFonts w:hint="eastAsia" w:hAnsi="仿宋_GB2312" w:cs="仿宋_GB2312"/>
          <w:sz w:val="28"/>
          <w:szCs w:val="28"/>
          <w:lang w:val="zh-CN" w:bidi="zh-CN"/>
        </w:rPr>
        <w:t>0%。二、三级指标</w:t>
      </w:r>
      <w:r>
        <w:rPr>
          <w:rFonts w:hint="eastAsia" w:hAnsi="仿宋_GB2312" w:cs="仿宋_GB2312"/>
          <w:sz w:val="28"/>
          <w:szCs w:val="28"/>
          <w:lang w:bidi="zh-CN"/>
        </w:rPr>
        <w:t>权重分值</w:t>
      </w:r>
      <w:r>
        <w:rPr>
          <w:rFonts w:hint="eastAsia" w:hAnsi="仿宋_GB2312" w:cs="仿宋_GB2312"/>
          <w:sz w:val="28"/>
          <w:szCs w:val="28"/>
          <w:lang w:val="zh-CN" w:bidi="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pStyle w:val="6"/>
        <w:ind w:firstLine="560"/>
      </w:pPr>
      <w:r>
        <w:rPr>
          <w:rFonts w:hint="eastAsia"/>
        </w:rPr>
        <w:t>3.指标体系具体内容</w:t>
      </w:r>
    </w:p>
    <w:p>
      <w:pPr>
        <w:pStyle w:val="14"/>
        <w:widowControl/>
        <w:spacing w:beforeAutospacing="0" w:afterAutospacing="0"/>
        <w:jc w:val="both"/>
        <w:rPr>
          <w:rFonts w:hint="eastAsia"/>
          <w:sz w:val="28"/>
          <w:szCs w:val="28"/>
        </w:rPr>
      </w:pPr>
      <w:r>
        <w:rPr>
          <w:rFonts w:hint="eastAsia"/>
          <w:sz w:val="28"/>
          <w:szCs w:val="28"/>
        </w:rPr>
        <w:t>指标体系由4项一级指标、13项二级指标构成。数据主要来源于政策文件、制度文件、档案资料、基础表、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和制度执行有效性的情况。产出类指标占权重分30分，从产出数量、产出质量、产出时效、产出成本四个角度考核项目完成情况、项目质量达标情况、项目完成时效。效益类指标占权重分30分，从项目的经济与社会效益、生态效益、可持续性影响和满意度进行考核。</w:t>
      </w:r>
    </w:p>
    <w:p>
      <w:pPr>
        <w:pStyle w:val="5"/>
        <w:keepNext w:val="0"/>
        <w:keepLines w:val="0"/>
        <w:pageBreakBefore w:val="0"/>
        <w:widowControl w:val="0"/>
        <w:kinsoku/>
        <w:wordWrap/>
        <w:overflowPunct/>
        <w:topLinePunct w:val="0"/>
        <w:autoSpaceDE/>
        <w:autoSpaceDN/>
        <w:bidi w:val="0"/>
        <w:adjustRightInd/>
        <w:snapToGrid/>
        <w:ind w:firstLine="560"/>
        <w:textAlignment w:val="auto"/>
      </w:pPr>
      <w:bookmarkStart w:id="50" w:name="_Toc29596"/>
      <w:bookmarkStart w:id="51" w:name="_Toc28285"/>
      <w:bookmarkStart w:id="52" w:name="_Toc19538"/>
      <w:r>
        <w:rPr>
          <w:rFonts w:hint="eastAsia"/>
        </w:rPr>
        <w:t>（五）绩效评价工作过程</w:t>
      </w:r>
      <w:bookmarkEnd w:id="50"/>
      <w:bookmarkEnd w:id="51"/>
      <w:bookmarkEnd w:id="52"/>
    </w:p>
    <w:p>
      <w:pPr>
        <w:pStyle w:val="14"/>
        <w:widowControl/>
        <w:spacing w:beforeAutospacing="0" w:afterAutospacing="0"/>
        <w:jc w:val="both"/>
        <w:rPr>
          <w:rFonts w:hAnsi="仿宋_GB2312" w:cs="仿宋_GB2312"/>
          <w:color w:val="000000"/>
          <w:sz w:val="28"/>
          <w:szCs w:val="27"/>
        </w:rPr>
      </w:pPr>
      <w:r>
        <w:rPr>
          <w:rFonts w:hint="eastAsia" w:hAnsi="仿宋_GB2312" w:cs="仿宋_GB2312"/>
          <w:color w:val="000000"/>
          <w:sz w:val="28"/>
          <w:szCs w:val="27"/>
        </w:rPr>
        <w:t>接受宁武县财政局</w:t>
      </w:r>
      <w:r>
        <w:rPr>
          <w:rFonts w:hAnsi="仿宋_GB2312" w:cs="仿宋_GB2312"/>
          <w:color w:val="000000"/>
          <w:sz w:val="28"/>
          <w:szCs w:val="27"/>
        </w:rPr>
        <w:t>的委托</w:t>
      </w:r>
      <w:r>
        <w:rPr>
          <w:rFonts w:hint="eastAsia" w:hAnsi="仿宋_GB2312" w:cs="仿宋_GB2312"/>
          <w:color w:val="000000"/>
          <w:sz w:val="28"/>
          <w:szCs w:val="27"/>
        </w:rPr>
        <w:t>后</w:t>
      </w:r>
      <w:r>
        <w:rPr>
          <w:rFonts w:hAnsi="仿宋_GB2312" w:cs="仿宋_GB2312"/>
          <w:color w:val="000000"/>
          <w:sz w:val="28"/>
          <w:szCs w:val="27"/>
        </w:rPr>
        <w:t>，我公司高度重视，积极筹备，成立项目领导组负责评价过程的协调和督导。</w:t>
      </w:r>
      <w:r>
        <w:rPr>
          <w:rFonts w:hint="eastAsia" w:hAnsi="仿宋_GB2312" w:cs="仿宋_GB2312"/>
          <w:color w:val="000000"/>
          <w:sz w:val="28"/>
          <w:szCs w:val="27"/>
        </w:rPr>
        <w:t>具体</w:t>
      </w:r>
      <w:r>
        <w:rPr>
          <w:rFonts w:hAnsi="仿宋_GB2312" w:cs="仿宋_GB2312"/>
          <w:color w:val="000000"/>
          <w:sz w:val="28"/>
          <w:szCs w:val="27"/>
        </w:rPr>
        <w:t>工作分为</w:t>
      </w:r>
      <w:r>
        <w:rPr>
          <w:rFonts w:hint="eastAsia" w:hAnsi="仿宋_GB2312" w:cs="仿宋_GB2312"/>
          <w:color w:val="000000"/>
          <w:sz w:val="28"/>
          <w:szCs w:val="27"/>
        </w:rPr>
        <w:t>前期</w:t>
      </w:r>
      <w:r>
        <w:rPr>
          <w:rFonts w:hAnsi="仿宋_GB2312" w:cs="仿宋_GB2312"/>
          <w:color w:val="000000"/>
          <w:sz w:val="28"/>
          <w:szCs w:val="27"/>
        </w:rPr>
        <w:t>准备、</w:t>
      </w:r>
      <w:r>
        <w:rPr>
          <w:rFonts w:hint="eastAsia" w:hAnsi="仿宋_GB2312" w:cs="仿宋_GB2312"/>
          <w:color w:val="000000"/>
          <w:sz w:val="28"/>
          <w:szCs w:val="27"/>
        </w:rPr>
        <w:t>现场</w:t>
      </w:r>
      <w:r>
        <w:rPr>
          <w:rFonts w:hAnsi="仿宋_GB2312" w:cs="仿宋_GB2312"/>
          <w:color w:val="000000"/>
          <w:sz w:val="28"/>
          <w:szCs w:val="27"/>
        </w:rPr>
        <w:t>实施、报告撰写三个阶段。</w:t>
      </w:r>
    </w:p>
    <w:p>
      <w:pPr>
        <w:pStyle w:val="6"/>
        <w:ind w:firstLine="560"/>
      </w:pPr>
      <w:r>
        <w:t>1.评价准备阶段</w:t>
      </w:r>
    </w:p>
    <w:p>
      <w:pPr>
        <w:pStyle w:val="14"/>
        <w:widowControl/>
        <w:spacing w:beforeAutospacing="0" w:afterAutospacing="0"/>
        <w:jc w:val="both"/>
        <w:rPr>
          <w:rFonts w:hAnsi="仿宋_GB2312" w:cs="仿宋_GB2312"/>
          <w:color w:val="000000"/>
          <w:sz w:val="28"/>
          <w:szCs w:val="27"/>
        </w:rPr>
      </w:pPr>
      <w:r>
        <w:rPr>
          <w:rFonts w:hAnsi="仿宋_GB2312" w:cs="仿宋_GB2312"/>
          <w:color w:val="000000"/>
          <w:sz w:val="28"/>
          <w:szCs w:val="27"/>
        </w:rPr>
        <w:t>根据山西省《省级项目支出绩效评价管理办法》（晋财绩〔2020〕17号）文件精神和</w:t>
      </w:r>
      <w:r>
        <w:rPr>
          <w:rFonts w:hint="eastAsia" w:hAnsi="仿宋_GB2312" w:cs="仿宋_GB2312"/>
          <w:color w:val="000000"/>
          <w:sz w:val="28"/>
          <w:szCs w:val="27"/>
        </w:rPr>
        <w:t>宁武县财政局《关于开展2020年度项目支出绩效评价工作的通知》（宁财字</w:t>
      </w:r>
      <w:r>
        <w:rPr>
          <w:rFonts w:hint="eastAsia" w:cstheme="minorBidi"/>
          <w:kern w:val="2"/>
          <w:sz w:val="28"/>
        </w:rPr>
        <w:t>〔2021〕13号</w:t>
      </w:r>
      <w:r>
        <w:rPr>
          <w:rFonts w:hint="eastAsia" w:hAnsi="仿宋_GB2312" w:cs="仿宋_GB2312"/>
          <w:color w:val="000000"/>
          <w:sz w:val="28"/>
          <w:szCs w:val="27"/>
        </w:rPr>
        <w:t>）</w:t>
      </w:r>
      <w:r>
        <w:rPr>
          <w:rFonts w:hAnsi="仿宋_GB2312" w:cs="仿宋_GB2312"/>
          <w:color w:val="000000"/>
          <w:sz w:val="28"/>
          <w:szCs w:val="27"/>
        </w:rPr>
        <w:t>总体要求，明确评价目的和工作思路，联系</w:t>
      </w:r>
      <w:r>
        <w:rPr>
          <w:rFonts w:hint="eastAsia" w:hAnsi="仿宋_GB2312" w:cs="仿宋_GB2312"/>
          <w:color w:val="000000"/>
          <w:sz w:val="28"/>
          <w:szCs w:val="27"/>
        </w:rPr>
        <w:t>宁武县扶贫开发有限公司</w:t>
      </w:r>
      <w:r>
        <w:rPr>
          <w:rFonts w:hAnsi="仿宋_GB2312" w:cs="仿宋_GB2312"/>
          <w:color w:val="000000"/>
          <w:sz w:val="28"/>
          <w:szCs w:val="27"/>
        </w:rPr>
        <w:t>开展调研，收集相关政策文件和信息资料，编制绩效评价指标体系、评分标准和评价等级。</w:t>
      </w:r>
    </w:p>
    <w:p>
      <w:pPr>
        <w:pStyle w:val="6"/>
        <w:ind w:firstLine="560"/>
      </w:pPr>
      <w:r>
        <w:t>2.组织实施阶段</w:t>
      </w:r>
    </w:p>
    <w:p>
      <w:pPr>
        <w:pStyle w:val="14"/>
        <w:widowControl/>
        <w:spacing w:beforeAutospacing="0" w:afterAutospacing="0"/>
        <w:jc w:val="both"/>
        <w:rPr>
          <w:rFonts w:hAnsi="仿宋_GB2312" w:cs="仿宋_GB2312"/>
          <w:color w:val="000000"/>
          <w:sz w:val="28"/>
          <w:szCs w:val="27"/>
        </w:rPr>
      </w:pPr>
      <w:r>
        <w:rPr>
          <w:rFonts w:hAnsi="仿宋_GB2312" w:cs="仿宋_GB2312"/>
          <w:color w:val="000000"/>
          <w:sz w:val="28"/>
          <w:szCs w:val="27"/>
        </w:rPr>
        <w:t>（1）</w:t>
      </w:r>
      <w:r>
        <w:rPr>
          <w:rFonts w:hint="eastAsia" w:hAnsi="仿宋_GB2312" w:cs="仿宋_GB2312"/>
          <w:color w:val="000000"/>
          <w:sz w:val="28"/>
          <w:szCs w:val="27"/>
        </w:rPr>
        <w:t>围绕评价指标补充</w:t>
      </w:r>
      <w:r>
        <w:rPr>
          <w:rFonts w:hAnsi="仿宋_GB2312" w:cs="仿宋_GB2312"/>
          <w:color w:val="000000"/>
          <w:sz w:val="28"/>
          <w:szCs w:val="27"/>
        </w:rPr>
        <w:t>收集</w:t>
      </w:r>
      <w:r>
        <w:rPr>
          <w:rFonts w:hint="eastAsia" w:hAnsi="仿宋_GB2312" w:cs="仿宋_GB2312"/>
          <w:color w:val="000000"/>
          <w:sz w:val="28"/>
          <w:szCs w:val="27"/>
        </w:rPr>
        <w:t>相关</w:t>
      </w:r>
      <w:r>
        <w:rPr>
          <w:rFonts w:hAnsi="仿宋_GB2312" w:cs="仿宋_GB2312"/>
          <w:color w:val="000000"/>
          <w:sz w:val="28"/>
          <w:szCs w:val="27"/>
        </w:rPr>
        <w:t>资料</w:t>
      </w:r>
      <w:r>
        <w:rPr>
          <w:rFonts w:hint="eastAsia" w:hAnsi="仿宋_GB2312" w:cs="仿宋_GB2312"/>
          <w:color w:val="000000"/>
          <w:sz w:val="28"/>
          <w:szCs w:val="27"/>
        </w:rPr>
        <w:t>。</w:t>
      </w:r>
    </w:p>
    <w:p>
      <w:pPr>
        <w:pStyle w:val="14"/>
        <w:widowControl/>
        <w:spacing w:beforeAutospacing="0" w:afterAutospacing="0"/>
        <w:jc w:val="both"/>
        <w:rPr>
          <w:rFonts w:hAnsi="仿宋_GB2312" w:cs="仿宋_GB2312"/>
          <w:color w:val="000000"/>
          <w:sz w:val="28"/>
          <w:szCs w:val="27"/>
        </w:rPr>
      </w:pPr>
      <w:r>
        <w:rPr>
          <w:rFonts w:hAnsi="仿宋_GB2312" w:cs="仿宋_GB2312"/>
          <w:color w:val="000000"/>
          <w:sz w:val="28"/>
          <w:szCs w:val="27"/>
        </w:rPr>
        <w:t>（2）现场勘查。根据评价对象的特点和项目单位提供的数据资料，现场勘查项目建设情况及运营情况。</w:t>
      </w:r>
    </w:p>
    <w:p>
      <w:pPr>
        <w:pStyle w:val="14"/>
        <w:spacing w:beforeAutospacing="0" w:afterAutospacing="0"/>
        <w:jc w:val="both"/>
        <w:rPr>
          <w:rFonts w:hAnsi="仿宋_GB2312" w:cs="仿宋_GB2312"/>
          <w:color w:val="000000"/>
          <w:sz w:val="28"/>
          <w:szCs w:val="27"/>
        </w:rPr>
      </w:pPr>
      <w:r>
        <w:rPr>
          <w:rFonts w:hAnsi="仿宋_GB2312" w:cs="仿宋_GB2312"/>
          <w:color w:val="000000"/>
          <w:sz w:val="28"/>
          <w:szCs w:val="27"/>
        </w:rPr>
        <w:t>（</w:t>
      </w:r>
      <w:r>
        <w:rPr>
          <w:rFonts w:hint="eastAsia" w:hAnsi="仿宋_GB2312" w:cs="仿宋_GB2312"/>
          <w:color w:val="000000"/>
          <w:sz w:val="28"/>
          <w:szCs w:val="27"/>
        </w:rPr>
        <w:t>3</w:t>
      </w:r>
      <w:r>
        <w:rPr>
          <w:rFonts w:hAnsi="仿宋_GB2312" w:cs="仿宋_GB2312"/>
          <w:color w:val="000000"/>
          <w:sz w:val="28"/>
          <w:szCs w:val="27"/>
        </w:rPr>
        <w:t>）综合评价。根据评价工作方案确定的评价指标、评价权重、评价标准和评价方法，对评价对象的情况进行全面的定量定性分析和综合评价。</w:t>
      </w:r>
    </w:p>
    <w:p>
      <w:pPr>
        <w:pStyle w:val="6"/>
        <w:ind w:firstLine="560"/>
      </w:pPr>
      <w:r>
        <w:t>3.报告撰写阶段</w:t>
      </w:r>
    </w:p>
    <w:p>
      <w:pPr>
        <w:pStyle w:val="14"/>
        <w:widowControl/>
        <w:spacing w:beforeAutospacing="0" w:afterAutospacing="0"/>
        <w:jc w:val="both"/>
        <w:rPr>
          <w:rFonts w:hAnsi="仿宋_GB2312" w:cs="仿宋_GB2312"/>
          <w:color w:val="000000"/>
          <w:sz w:val="28"/>
          <w:szCs w:val="27"/>
        </w:rPr>
      </w:pPr>
      <w:r>
        <w:rPr>
          <w:rFonts w:hAnsi="仿宋_GB2312" w:cs="仿宋_GB2312"/>
          <w:color w:val="000000"/>
          <w:sz w:val="28"/>
          <w:szCs w:val="27"/>
        </w:rPr>
        <w:t>绩效评价组根据被评价单位的绩效情况，按要求撰写评价报告，并根据专家意见进一步完善、修改绩效评价报告，形成</w:t>
      </w:r>
      <w:r>
        <w:rPr>
          <w:rFonts w:hint="eastAsia" w:hAnsi="仿宋_GB2312" w:cs="仿宋_GB2312"/>
          <w:color w:val="000000"/>
          <w:sz w:val="28"/>
          <w:szCs w:val="27"/>
        </w:rPr>
        <w:t>报告提交报送委托评价单位。</w:t>
      </w:r>
    </w:p>
    <w:bookmarkEnd w:id="30"/>
    <w:bookmarkEnd w:id="31"/>
    <w:bookmarkEnd w:id="32"/>
    <w:bookmarkEnd w:id="33"/>
    <w:bookmarkEnd w:id="34"/>
    <w:bookmarkEnd w:id="35"/>
    <w:bookmarkEnd w:id="36"/>
    <w:bookmarkEnd w:id="37"/>
    <w:bookmarkEnd w:id="38"/>
    <w:bookmarkEnd w:id="39"/>
    <w:bookmarkEnd w:id="40"/>
    <w:bookmarkEnd w:id="41"/>
    <w:bookmarkEnd w:id="42"/>
    <w:p>
      <w:pPr>
        <w:pStyle w:val="4"/>
        <w:ind w:firstLine="560"/>
      </w:pPr>
      <w:bookmarkStart w:id="53" w:name="_Toc9893"/>
      <w:bookmarkStart w:id="54" w:name="_Toc2515"/>
      <w:bookmarkStart w:id="55" w:name="_Toc24581"/>
      <w:r>
        <w:rPr>
          <w:rFonts w:hint="eastAsia"/>
        </w:rPr>
        <w:t>三、</w:t>
      </w:r>
      <w:bookmarkEnd w:id="53"/>
      <w:bookmarkEnd w:id="54"/>
      <w:r>
        <w:rPr>
          <w:rFonts w:hint="eastAsia"/>
        </w:rPr>
        <w:t>综合评价情况及评价结论</w:t>
      </w:r>
      <w:bookmarkEnd w:id="55"/>
    </w:p>
    <w:p>
      <w:pPr>
        <w:pStyle w:val="5"/>
        <w:ind w:firstLine="560"/>
      </w:pPr>
      <w:bookmarkStart w:id="56" w:name="_Toc22708"/>
      <w:bookmarkStart w:id="57" w:name="_Toc453771167"/>
      <w:bookmarkStart w:id="58" w:name="_Toc29458"/>
      <w:bookmarkStart w:id="59" w:name="_Toc14103"/>
      <w:bookmarkStart w:id="60" w:name="_Toc20304"/>
      <w:bookmarkStart w:id="61" w:name="_Toc26929"/>
      <w:bookmarkStart w:id="62" w:name="_Toc6539"/>
      <w:bookmarkStart w:id="63" w:name="_Toc24572"/>
      <w:bookmarkStart w:id="64" w:name="_Toc16955"/>
      <w:bookmarkStart w:id="65" w:name="_Toc28348"/>
      <w:bookmarkStart w:id="66" w:name="_Toc19921"/>
      <w:bookmarkStart w:id="67" w:name="_Toc3350"/>
      <w:bookmarkStart w:id="68" w:name="_Toc9894"/>
      <w:bookmarkStart w:id="69" w:name="_Toc4476"/>
      <w:bookmarkStart w:id="70" w:name="_Toc28374"/>
      <w:bookmarkStart w:id="71" w:name="_Toc31779"/>
      <w:bookmarkStart w:id="72" w:name="_Toc31436"/>
      <w:bookmarkStart w:id="73" w:name="_Toc12655"/>
      <w:bookmarkStart w:id="74" w:name="_Toc16417"/>
      <w:bookmarkStart w:id="75" w:name="_Toc453771170"/>
      <w:bookmarkStart w:id="76" w:name="_Toc2389"/>
      <w:bookmarkStart w:id="77" w:name="_Toc15792"/>
      <w:bookmarkStart w:id="78" w:name="_Toc14575"/>
      <w:bookmarkStart w:id="79" w:name="_Toc31408"/>
      <w:r>
        <w:rPr>
          <w:rFonts w:hint="eastAsia"/>
        </w:rPr>
        <w:t>（一）</w:t>
      </w:r>
      <w:bookmarkEnd w:id="56"/>
      <w:bookmarkEnd w:id="57"/>
      <w:bookmarkEnd w:id="58"/>
      <w:bookmarkEnd w:id="59"/>
      <w:bookmarkEnd w:id="60"/>
      <w:bookmarkEnd w:id="61"/>
      <w:bookmarkEnd w:id="62"/>
      <w:bookmarkEnd w:id="63"/>
      <w:bookmarkEnd w:id="64"/>
      <w:bookmarkEnd w:id="65"/>
      <w:bookmarkEnd w:id="66"/>
      <w:bookmarkEnd w:id="67"/>
      <w:bookmarkEnd w:id="68"/>
      <w:r>
        <w:rPr>
          <w:rFonts w:hint="eastAsia"/>
        </w:rPr>
        <w:t>综合评价情况</w:t>
      </w:r>
    </w:p>
    <w:p>
      <w:r>
        <w:rPr>
          <w:rFonts w:hint="eastAsia"/>
        </w:rPr>
        <w:t>宁武县扶贫开发有限公司2020年统筹整合财政资金绩效评价综合得分77.42分。评价等级为“中”。其中决策类指标得16.40分，过程类指标得18.27分，产出类指标得24.89分，效益类指标得17.86分。项目绩效得分见表3-1。</w:t>
      </w:r>
    </w:p>
    <w:p>
      <w:pPr>
        <w:pStyle w:val="2"/>
        <w:spacing w:before="0" w:after="197" w:afterLines="50"/>
        <w:ind w:firstLine="0" w:firstLineChars="0"/>
        <w:jc w:val="center"/>
        <w:rPr>
          <w:rFonts w:ascii="宋体" w:hAnsi="宋体" w:eastAsia="宋体"/>
          <w:lang w:bidi="ar"/>
        </w:rPr>
      </w:pPr>
      <w:r>
        <w:rPr>
          <w:rFonts w:hint="eastAsia" w:ascii="宋体" w:hAnsi="宋体" w:eastAsia="宋体"/>
          <w:lang w:bidi="ar"/>
        </w:rPr>
        <w:t>表3-1 项目总体绩效评价评分表</w:t>
      </w:r>
    </w:p>
    <w:tbl>
      <w:tblPr>
        <w:tblStyle w:val="16"/>
        <w:tblW w:w="8392"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098"/>
        <w:gridCol w:w="2098"/>
        <w:gridCol w:w="2098"/>
        <w:gridCol w:w="2098"/>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2098" w:type="dxa"/>
            <w:tcBorders>
              <w:top w:val="double" w:color="auto" w:sz="4" w:space="0"/>
              <w:left w:val="nil"/>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一级指标</w:t>
            </w:r>
          </w:p>
        </w:tc>
        <w:tc>
          <w:tcPr>
            <w:tcW w:w="2098" w:type="dxa"/>
            <w:tcBorders>
              <w:top w:val="double" w:color="auto" w:sz="4" w:space="0"/>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权重</w:t>
            </w:r>
          </w:p>
        </w:tc>
        <w:tc>
          <w:tcPr>
            <w:tcW w:w="2098" w:type="dxa"/>
            <w:tcBorders>
              <w:top w:val="double" w:color="auto" w:sz="4" w:space="0"/>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得分</w:t>
            </w:r>
          </w:p>
        </w:tc>
        <w:tc>
          <w:tcPr>
            <w:tcW w:w="2098" w:type="dxa"/>
            <w:tcBorders>
              <w:top w:val="double" w:color="auto" w:sz="4" w:space="0"/>
              <w:right w:val="nil"/>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得分率（%）</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决策</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20</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16.40</w:t>
            </w:r>
          </w:p>
        </w:tc>
        <w:tc>
          <w:tcPr>
            <w:tcW w:w="2098" w:type="dxa"/>
            <w:tcBorders>
              <w:righ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82</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过程</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20</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18.27</w:t>
            </w:r>
          </w:p>
        </w:tc>
        <w:tc>
          <w:tcPr>
            <w:tcW w:w="2098" w:type="dxa"/>
            <w:tcBorders>
              <w:righ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91.35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产出</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30</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24.89</w:t>
            </w:r>
          </w:p>
        </w:tc>
        <w:tc>
          <w:tcPr>
            <w:tcW w:w="2098" w:type="dxa"/>
            <w:tcBorders>
              <w:righ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82.97</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效益</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30</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17.86</w:t>
            </w:r>
          </w:p>
        </w:tc>
        <w:tc>
          <w:tcPr>
            <w:tcW w:w="2098" w:type="dxa"/>
            <w:tcBorders>
              <w:righ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59.53</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合计</w:t>
            </w:r>
          </w:p>
        </w:tc>
        <w:tc>
          <w:tcPr>
            <w:tcW w:w="2098" w:type="dxa"/>
            <w:tcBorders>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100</w:t>
            </w:r>
          </w:p>
        </w:tc>
        <w:tc>
          <w:tcPr>
            <w:tcW w:w="2098" w:type="dxa"/>
            <w:tcBorders>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77.42</w:t>
            </w:r>
          </w:p>
        </w:tc>
        <w:tc>
          <w:tcPr>
            <w:tcW w:w="2098" w:type="dxa"/>
            <w:tcBorders>
              <w:bottom w:val="double" w:color="auto" w:sz="4" w:space="0"/>
              <w:righ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77.42</w:t>
            </w:r>
          </w:p>
        </w:tc>
      </w:tr>
    </w:tbl>
    <w:p>
      <w:pPr>
        <w:pStyle w:val="5"/>
        <w:spacing w:before="197" w:beforeLines="50"/>
        <w:ind w:firstLine="560"/>
      </w:pPr>
      <w:bookmarkStart w:id="80" w:name="_Toc9318"/>
      <w:bookmarkStart w:id="81" w:name="_Toc11448"/>
      <w:bookmarkStart w:id="82" w:name="_Toc2383"/>
      <w:r>
        <w:rPr>
          <w:rFonts w:hint="eastAsia"/>
        </w:rPr>
        <w:t>（二）评价结论</w:t>
      </w:r>
      <w:bookmarkEnd w:id="80"/>
      <w:bookmarkEnd w:id="81"/>
      <w:bookmarkEnd w:id="82"/>
      <w:r>
        <w:rPr>
          <w:rFonts w:hint="eastAsia"/>
        </w:rPr>
        <w:t xml:space="preserve"> </w:t>
      </w:r>
    </w:p>
    <w:p>
      <w:r>
        <w:rPr>
          <w:rFonts w:hint="eastAsia"/>
        </w:rPr>
        <w:t>1.项目整体管理到位、制度健全，整体实现了年度任务目标要求且符合基建程序</w:t>
      </w:r>
    </w:p>
    <w:p>
      <w:pPr>
        <w:rPr>
          <w:rFonts w:hAnsi="宋体" w:cs="仿宋_GB2312"/>
          <w:color w:val="000000"/>
          <w:kern w:val="0"/>
          <w:szCs w:val="28"/>
          <w:lang w:bidi="ar"/>
        </w:rPr>
      </w:pPr>
      <w:r>
        <w:rPr>
          <w:rFonts w:hint="eastAsia" w:hAnsi="宋体" w:cs="仿宋_GB2312"/>
          <w:color w:val="000000"/>
          <w:kern w:val="0"/>
          <w:szCs w:val="28"/>
          <w:lang w:bidi="ar"/>
        </w:rPr>
        <w:t>项目实施单位通过下发各类公文、建立财务管理制度和项目管理制度等形式，引导和管理具体项目工作的开展，成立了工作领导小组，制定了一些管理制度、工作程序和财务办法，能按照合同约定工作要点开展工作，项目申报、审批、施工许可及公示、招投标、项目执行较为规范，符合基建程序。</w:t>
      </w:r>
    </w:p>
    <w:p>
      <w:r>
        <w:rPr>
          <w:rFonts w:hint="eastAsia"/>
        </w:rPr>
        <w:t>2.光伏电站运维管理制度健全，项目单位牢抓电站运行安全</w:t>
      </w:r>
    </w:p>
    <w:p>
      <w:pPr>
        <w:widowControl/>
        <w:rPr>
          <w:rFonts w:hAnsi="宋体" w:cs="仿宋_GB2312"/>
          <w:color w:val="000000"/>
          <w:kern w:val="0"/>
          <w:szCs w:val="28"/>
          <w:lang w:bidi="ar"/>
        </w:rPr>
      </w:pPr>
      <w:r>
        <w:rPr>
          <w:rFonts w:hint="eastAsia" w:hAnsi="宋体" w:cs="仿宋_GB2312"/>
          <w:color w:val="000000"/>
          <w:kern w:val="0"/>
          <w:szCs w:val="28"/>
          <w:lang w:bidi="ar"/>
        </w:rPr>
        <w:t>为确保全县村级（联村）电站安全运行，县扶贫开发有限公司对运维中心严格实行“派单制”管理，派专人进驻运维中心，依托全国扶贫光伏信息监测系统对所有电站进行实时查看，发现故障电站后立即派单到运维中心，要求运维中心必须在24小时内恢复故障电站，保持其正常运行。运维中心人员通过实时跟进光伏电站监测平台及光伏阵区监控影像，随时查看电站运行安全情况。为更进一步加强对运维中心的监督管理，县扶贫开发有限公司根据运维中心的各项制度、电站发电量、安全光伏设备检修及更换、光伏阵区环境等全方面专门制定了考核方案，公司安全运行部人员随时到运维中心及光伏电站对运维中心工作进行考核，监控大厅工作人员全天对发电设备各项参数进行全方位监控，及时报出各电站运行故障发电报警代码，并及时列出电站问题通知单，迅速通知运维检修人员确保在24小时内恢复电站正常发电。</w:t>
      </w:r>
    </w:p>
    <w:p>
      <w:r>
        <w:rPr>
          <w:rFonts w:hint="eastAsia"/>
        </w:rPr>
        <w:t>3.按时结算光伏收益，及时录入分配系统</w:t>
      </w:r>
    </w:p>
    <w:p>
      <w:pPr>
        <w:widowControl/>
        <w:rPr>
          <w:rFonts w:hAnsi="宋体" w:cs="仿宋_GB2312"/>
          <w:color w:val="000000"/>
          <w:kern w:val="0"/>
          <w:szCs w:val="28"/>
          <w:lang w:bidi="ar"/>
        </w:rPr>
      </w:pPr>
      <w:r>
        <w:rPr>
          <w:rFonts w:hint="eastAsia" w:hAnsi="宋体" w:cs="仿宋_GB2312"/>
          <w:color w:val="000000"/>
          <w:kern w:val="0"/>
          <w:szCs w:val="28"/>
          <w:lang w:bidi="ar"/>
        </w:rPr>
        <w:t xml:space="preserve">宁武县扶贫开发有限公司每月按时与供电公司结算光伏收益，在扣除相关费用后及时拨付到各乡镇三资中心，由各乡镇进行光伏收益二次分配。宁武县扶贫开发有限公司还承担录入山西省扶贫光伏收益分配系统，公司专人录入系统，并严格按省、市扶贫光伏领导组要求，保持线上线下数据一致且真实可靠，宁武县扶贫开发有限公司向各乡镇三资中心明确录入系统所需印证资料、公益岗位明细表等资料，多次通过微信群、电话等联系方式督促各乡镇三资中心报送到村到户印证资料，在各乡镇报送回印证资料后第一时间上传光伏收益系统。 </w:t>
      </w:r>
    </w:p>
    <w:bookmarkEnd w:id="69"/>
    <w:bookmarkEnd w:id="70"/>
    <w:bookmarkEnd w:id="71"/>
    <w:bookmarkEnd w:id="72"/>
    <w:bookmarkEnd w:id="73"/>
    <w:bookmarkEnd w:id="74"/>
    <w:bookmarkEnd w:id="75"/>
    <w:bookmarkEnd w:id="76"/>
    <w:bookmarkEnd w:id="77"/>
    <w:bookmarkEnd w:id="78"/>
    <w:bookmarkEnd w:id="79"/>
    <w:p>
      <w:pPr>
        <w:pStyle w:val="4"/>
        <w:ind w:firstLine="560"/>
      </w:pPr>
      <w:bookmarkStart w:id="83" w:name="_Toc19277"/>
      <w:bookmarkStart w:id="84" w:name="_Toc12013"/>
      <w:r>
        <w:rPr>
          <w:rFonts w:hint="eastAsia"/>
        </w:rPr>
        <w:t>四、存在的问题</w:t>
      </w:r>
      <w:bookmarkEnd w:id="83"/>
      <w:bookmarkEnd w:id="84"/>
    </w:p>
    <w:p>
      <w:bookmarkStart w:id="85" w:name="_Toc1199"/>
      <w:bookmarkStart w:id="86" w:name="_Toc844"/>
      <w:bookmarkStart w:id="87" w:name="_Toc31995"/>
      <w:r>
        <w:rPr>
          <w:rFonts w:hint="eastAsia"/>
        </w:rPr>
        <w:t>总体而言，宁武县扶贫开发有限公司2020年财政统筹整合资金基本实现了预期的绩效目标，但某些方面仍存在一定的问题和不足，主要有：</w:t>
      </w:r>
    </w:p>
    <w:p>
      <w:pPr>
        <w:pStyle w:val="5"/>
        <w:ind w:firstLine="560"/>
      </w:pPr>
      <w:bookmarkStart w:id="88" w:name="_Toc14059"/>
      <w:bookmarkStart w:id="89" w:name="_Toc22432"/>
      <w:bookmarkStart w:id="90" w:name="_Toc10947"/>
      <w:r>
        <w:rPr>
          <w:rFonts w:hint="eastAsia"/>
        </w:rPr>
        <w:t>（一）资金管理不规范</w:t>
      </w:r>
      <w:bookmarkEnd w:id="88"/>
      <w:bookmarkEnd w:id="89"/>
      <w:bookmarkEnd w:id="90"/>
    </w:p>
    <w:p>
      <w:r>
        <w:rPr>
          <w:rFonts w:hint="eastAsia"/>
        </w:rPr>
        <w:t>根据《宁武县脱贫攻坚总指挥部 关于印发宁武县2020年统筹整合使用财政资金开展脱贫攻坚调整实施方案的通知》（宁脱贫攻坚部〔2020〕20号）的规定：“资金使用严格执行《宁武县统筹整合使用财政资金管理暂行办法》的规定，确保统筹整合取得实效”。《宁武县人民政府办公室关于印发宁武县统筹整合使用财政资金管理暂行办法的通知》（宁政办发〔2018〕39号）第三章“资金拨付和管理”中第十条规定：“统筹整合财政资金，实行专户管理，单独核算，封闭运行。县财政国库将专项扶贫资金及各类统筹整合涉农资金拨入财政扶贫资金专户。执行中依据项目实施进度拨付资金”。</w:t>
      </w:r>
    </w:p>
    <w:p>
      <w:r>
        <w:rPr>
          <w:rFonts w:hint="eastAsia"/>
        </w:rPr>
        <w:t>根据现场查看，宁武县经济技术园区扶贫标准化车间建设项目下达资金3,403万元，宁武县扶贫加工产业园扶贫标准化车间建设项目下达资金1,000万元，但根据财务资料，宁武县经济技术园区扶贫标准化车间建设项目共支付2,117.31万元；宁武县扶贫加工产业园扶贫标准化车间建设项目共支付1,628.84万元，与实际下达资金不符。</w:t>
      </w:r>
    </w:p>
    <w:p>
      <w:pPr>
        <w:pStyle w:val="5"/>
        <w:ind w:firstLine="560"/>
      </w:pPr>
      <w:bookmarkStart w:id="91" w:name="_Toc19698"/>
      <w:bookmarkStart w:id="92" w:name="_Toc2871"/>
      <w:bookmarkStart w:id="93" w:name="_Toc1521"/>
      <w:bookmarkStart w:id="94" w:name="_Toc29968"/>
      <w:bookmarkStart w:id="95" w:name="_Toc657"/>
      <w:bookmarkStart w:id="96" w:name="_Toc19172"/>
      <w:r>
        <w:rPr>
          <w:rFonts w:hint="eastAsia"/>
        </w:rPr>
        <w:t>（二）带贫效益不明显</w:t>
      </w:r>
      <w:bookmarkEnd w:id="91"/>
      <w:bookmarkEnd w:id="92"/>
      <w:bookmarkEnd w:id="93"/>
      <w:bookmarkEnd w:id="94"/>
      <w:bookmarkEnd w:id="95"/>
      <w:bookmarkEnd w:id="96"/>
    </w:p>
    <w:p>
      <w:r>
        <w:rPr>
          <w:rFonts w:hint="eastAsia"/>
        </w:rPr>
        <w:t>宁武县扶贫加工产业园扶贫标准化车间建设项目共分为两个部分，一部分为宁武县服装加工扶贫产业园项目，另一部分为宁武县服装加工扶贫产业园餐厅项目。在宁武县服装加工扶贫产业园项目和宁武县服装加工扶贫产业园餐厅项目的可行性研究报告中均对项目实施后取得的社会效益进行了描述：“服装厂预计安排移民村搬迁人口600人，其中建档立卡贫困人口占95%，人均工资收入1,500元”。</w:t>
      </w:r>
    </w:p>
    <w:p>
      <w:r>
        <w:rPr>
          <w:rFonts w:hint="eastAsia"/>
        </w:rPr>
        <w:t>但在项目建成后，实际实施过程中，服装厂员工并未达到600人，建档立卡贫困人口占比未达95%。根据项目单位提供的员工名单以及贫困户名单可知，该服装厂实际有115名员工，其中，贫困户有14人，占比10%，未达到可行性研究报告中的目标，差异较大。</w:t>
      </w:r>
    </w:p>
    <w:p>
      <w:pPr>
        <w:pStyle w:val="5"/>
        <w:ind w:firstLine="560"/>
      </w:pPr>
      <w:bookmarkStart w:id="97" w:name="_Toc31925"/>
      <w:bookmarkStart w:id="98" w:name="_Toc9796"/>
      <w:bookmarkStart w:id="99" w:name="_Toc17812"/>
      <w:bookmarkStart w:id="100" w:name="_Toc32063"/>
      <w:bookmarkStart w:id="101" w:name="_Toc29700"/>
      <w:bookmarkStart w:id="102" w:name="_Toc2075"/>
      <w:r>
        <w:rPr>
          <w:rFonts w:hint="eastAsia"/>
        </w:rPr>
        <w:t>（三）前期规划不合理</w:t>
      </w:r>
      <w:bookmarkEnd w:id="97"/>
      <w:bookmarkEnd w:id="98"/>
      <w:bookmarkEnd w:id="99"/>
      <w:bookmarkEnd w:id="100"/>
      <w:bookmarkEnd w:id="101"/>
      <w:bookmarkEnd w:id="102"/>
    </w:p>
    <w:p>
      <w:r>
        <w:rPr>
          <w:rFonts w:hint="eastAsia"/>
        </w:rPr>
        <w:t>根据宁武县扶贫车间及配套设施建设项目可行性研究报告，宁武县经济技术园区扶贫标准化车间建设项目共有4个实施地点：阳方口镇阳方口村、凤凰镇刘家园村、阳方口镇西麻峪寨村、宁武县大水口村。《宁武县行政审批服务管理局 关于宁武县扶贫车间及配套设施建设项目可行性研究报告（代项目建议书）的批复》（宁审管发〔2020〕31号）对该项目建设内容进行了批复。</w:t>
      </w:r>
    </w:p>
    <w:p>
      <w:r>
        <w:rPr>
          <w:rFonts w:hint="eastAsia"/>
        </w:rPr>
        <w:t>但在具体实施过程中，由于前期规划不合理，对阳方口镇西麻峪寨村的具体情况未进行实质分析，没有合适的地点修建扶贫标准化车间，导致工程未实施。</w:t>
      </w:r>
    </w:p>
    <w:p>
      <w:pPr>
        <w:pStyle w:val="4"/>
        <w:ind w:firstLine="560"/>
      </w:pPr>
      <w:bookmarkStart w:id="103" w:name="_Toc10698"/>
      <w:r>
        <w:rPr>
          <w:rFonts w:hint="eastAsia"/>
        </w:rPr>
        <w:t>五、有关建议</w:t>
      </w:r>
      <w:bookmarkEnd w:id="85"/>
      <w:bookmarkEnd w:id="86"/>
      <w:bookmarkEnd w:id="87"/>
      <w:bookmarkEnd w:id="103"/>
    </w:p>
    <w:p>
      <w:bookmarkStart w:id="104" w:name="_Toc12616"/>
      <w:r>
        <w:rPr>
          <w:rFonts w:hint="eastAsia"/>
        </w:rPr>
        <w:t>针对上述问题及不足，评价组经过仔细研究，认为在以后的项目实施过程中需从以下几个方面改进：</w:t>
      </w:r>
    </w:p>
    <w:p>
      <w:pPr>
        <w:pStyle w:val="5"/>
        <w:ind w:firstLine="560"/>
      </w:pPr>
      <w:bookmarkStart w:id="105" w:name="_Toc6643"/>
      <w:bookmarkStart w:id="106" w:name="_Toc30458"/>
      <w:bookmarkStart w:id="107" w:name="_Toc22065"/>
      <w:bookmarkStart w:id="108" w:name="_Toc11592"/>
      <w:bookmarkStart w:id="109" w:name="_Toc18459"/>
      <w:bookmarkStart w:id="110" w:name="_Toc5174"/>
      <w:r>
        <w:rPr>
          <w:rFonts w:hint="eastAsia"/>
        </w:rPr>
        <w:t>（一）</w:t>
      </w:r>
      <w:bookmarkStart w:id="111" w:name="_Toc23308"/>
      <w:r>
        <w:rPr>
          <w:rFonts w:hint="eastAsia"/>
        </w:rPr>
        <w:t>加强资金管理，合理制定资金计划</w:t>
      </w:r>
      <w:bookmarkEnd w:id="105"/>
      <w:bookmarkEnd w:id="106"/>
      <w:bookmarkEnd w:id="107"/>
      <w:bookmarkEnd w:id="108"/>
      <w:bookmarkEnd w:id="109"/>
      <w:bookmarkEnd w:id="110"/>
      <w:bookmarkEnd w:id="111"/>
    </w:p>
    <w:p>
      <w:r>
        <w:rPr>
          <w:rFonts w:hint="eastAsia"/>
        </w:rPr>
        <w:t>一要加强预算编制的科学性，提高项目预算金额的准确性。坚持零基预算原则，细化项目支出事项结构，提高预算编制的准确度。项目支出预算金额的测算应更加科学、合理，年度预算编制时应充分考虑项目实际建设规模、资金额度，确保预算金额更加准确，提高财政资金使用效率。二要加大扶贫结余资金管理。项目单位在实施过程中对结余资金及时返还财政，以便财政部门统筹整合安排下一年度，如继续按原用途使用，在编制年度决算时应将本单位扶贫结余资金计划用途报财政备案。</w:t>
      </w:r>
    </w:p>
    <w:p>
      <w:pPr>
        <w:pStyle w:val="5"/>
        <w:ind w:firstLine="560"/>
      </w:pPr>
      <w:bookmarkStart w:id="112" w:name="_Toc12224"/>
      <w:bookmarkStart w:id="113" w:name="_Toc17949"/>
      <w:bookmarkStart w:id="114" w:name="_Toc19369"/>
      <w:bookmarkStart w:id="115" w:name="_Toc16537"/>
      <w:bookmarkStart w:id="116" w:name="_Toc3000"/>
      <w:bookmarkStart w:id="117" w:name="_Toc31832"/>
      <w:r>
        <w:rPr>
          <w:rFonts w:hint="eastAsia"/>
        </w:rPr>
        <w:t>（二）增强带贫效益</w:t>
      </w:r>
      <w:bookmarkEnd w:id="112"/>
      <w:bookmarkEnd w:id="113"/>
      <w:bookmarkEnd w:id="114"/>
      <w:bookmarkEnd w:id="115"/>
      <w:bookmarkEnd w:id="116"/>
      <w:bookmarkEnd w:id="117"/>
    </w:p>
    <w:p>
      <w:r>
        <w:rPr>
          <w:rFonts w:hint="eastAsia"/>
        </w:rPr>
        <w:t>扶贫车间建设目的应以“扶贫兜底”为主，盈利发展为辅，贫困人口的就业安置和劳动保障应放在第一位，重点体现在扶贫车间的劳动保护、安全设施、技能培训以及扶贫监督。应建立社会力量参与政策支持体系从政策角度给予社会企业融资、税收扶持；同时，建立相对贫困农村人口就业保障机制，从建立“兜底车间”公益岗位制度入手，通过行政职能发挥确保相对贫困人口能够获得就业安置优先权。宁武县扶贫开发有限公司应建立完善的监督机制，重点对兜底扶贫车间扶贫效果、扶贫资源使用效率进行监督，杜绝扶贫资源使用效率不高等问题出现。</w:t>
      </w:r>
    </w:p>
    <w:p>
      <w:pPr>
        <w:pStyle w:val="5"/>
        <w:ind w:left="560" w:leftChars="200" w:firstLine="0" w:firstLineChars="0"/>
      </w:pPr>
      <w:bookmarkStart w:id="118" w:name="_Toc5630"/>
      <w:bookmarkStart w:id="119" w:name="_Toc26950"/>
      <w:bookmarkStart w:id="120" w:name="_Toc2156"/>
      <w:bookmarkStart w:id="121" w:name="_Toc13147"/>
      <w:bookmarkStart w:id="122" w:name="_Toc8690"/>
      <w:bookmarkStart w:id="123" w:name="_Toc14474"/>
      <w:r>
        <w:rPr>
          <w:rFonts w:hint="eastAsia"/>
        </w:rPr>
        <w:t>（三）合理进行规划</w:t>
      </w:r>
      <w:bookmarkEnd w:id="118"/>
      <w:bookmarkEnd w:id="119"/>
      <w:bookmarkEnd w:id="120"/>
      <w:bookmarkEnd w:id="121"/>
      <w:bookmarkEnd w:id="122"/>
      <w:bookmarkEnd w:id="123"/>
    </w:p>
    <w:p>
      <w:r>
        <w:rPr>
          <w:rFonts w:hint="eastAsia"/>
        </w:rPr>
        <w:t>科学合理的建设工程项目前期策划能够有效地保障工程项目的社会效益和经济效益的最大化。重视可行性研究，延长可行性研究周期，系统全面做好可行性研究的基础准备工作。对于收集的基础资料，要按照客观实际情况进行论证评价，从客观数据出发，通过专业分析，得出项目是否可行的结论。前期规划工作必须把各项基础数据的确定依据、使用的调查研究、预测分析的方法、结果的准确程度弄清楚，以保证后期项目能够顺利进行。</w:t>
      </w:r>
      <w:bookmarkEnd w:id="104"/>
    </w:p>
    <w:sectPr>
      <w:headerReference r:id="rId12" w:type="first"/>
      <w:footerReference r:id="rId14" w:type="first"/>
      <w:headerReference r:id="rId11" w:type="default"/>
      <w:footerReference r:id="rId13" w:type="default"/>
      <w:pgSz w:w="11906" w:h="16838"/>
      <w:pgMar w:top="1417" w:right="1417" w:bottom="1531" w:left="2041" w:header="851" w:footer="850" w:gutter="0"/>
      <w:pgNumType w:start="1"/>
      <w:cols w:space="0" w:num="1"/>
      <w:titlePg/>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p>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031249"/>
      <w:docPartObj>
        <w:docPartGallery w:val="autotext"/>
      </w:docPartObj>
    </w:sdtPr>
    <w:sdtContent>
      <w:p>
        <w:pPr>
          <w:pStyle w:val="10"/>
          <w:ind w:firstLine="0" w:firstLineChars="0"/>
          <w:jc w:val="center"/>
        </w:pPr>
        <w:r>
          <w:rPr>
            <w:sz w:val="24"/>
            <w:szCs w:val="40"/>
          </w:rPr>
          <w:fldChar w:fldCharType="begin"/>
        </w:r>
        <w:r>
          <w:rPr>
            <w:sz w:val="24"/>
            <w:szCs w:val="40"/>
          </w:rPr>
          <w:instrText xml:space="preserve">PAGE   \* MERGEFORMAT</w:instrText>
        </w:r>
        <w:r>
          <w:rPr>
            <w:sz w:val="24"/>
            <w:szCs w:val="40"/>
          </w:rPr>
          <w:fldChar w:fldCharType="separate"/>
        </w:r>
        <w:r>
          <w:rPr>
            <w:sz w:val="24"/>
            <w:szCs w:val="40"/>
            <w:lang w:val="zh-CN"/>
          </w:rPr>
          <w:t>2</w:t>
        </w:r>
        <w:r>
          <w:rPr>
            <w:sz w:val="24"/>
            <w:szCs w:val="4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3589236"/>
      <w:docPartObj>
        <w:docPartGallery w:val="autotext"/>
      </w:docPartObj>
    </w:sdtPr>
    <w:sdtEndPr>
      <w:rPr>
        <w:sz w:val="24"/>
        <w:szCs w:val="40"/>
      </w:rPr>
    </w:sdtEndPr>
    <w:sdtContent>
      <w:p>
        <w:pPr>
          <w:pStyle w:val="10"/>
          <w:ind w:firstLine="0" w:firstLineChars="0"/>
          <w:jc w:val="center"/>
        </w:pPr>
        <w:r>
          <w:rPr>
            <w:sz w:val="24"/>
            <w:szCs w:val="40"/>
          </w:rPr>
          <w:fldChar w:fldCharType="begin"/>
        </w:r>
        <w:r>
          <w:rPr>
            <w:sz w:val="24"/>
            <w:szCs w:val="40"/>
          </w:rPr>
          <w:instrText xml:space="preserve">PAGE   \* MERGEFORMAT</w:instrText>
        </w:r>
        <w:r>
          <w:rPr>
            <w:sz w:val="24"/>
            <w:szCs w:val="40"/>
          </w:rPr>
          <w:fldChar w:fldCharType="separate"/>
        </w:r>
        <w:r>
          <w:rPr>
            <w:sz w:val="24"/>
            <w:szCs w:val="40"/>
            <w:lang w:val="zh-CN"/>
          </w:rPr>
          <w:t>2</w:t>
        </w:r>
        <w:r>
          <w:rPr>
            <w:sz w:val="24"/>
            <w:szCs w:val="4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single" w:color="000000" w:sz="4" w:space="1"/>
        <w:right w:val="none" w:color="auto" w:sz="0" w:space="0"/>
      </w:pBdr>
      <w:spacing w:line="240" w:lineRule="auto"/>
      <w:ind w:firstLine="0" w:firstLineChars="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8"/>
        <w:szCs w:val="28"/>
      </w:rPr>
      <w:drawing>
        <wp:inline distT="0" distB="0" distL="114300" distR="114300">
          <wp:extent cx="240665" cy="240665"/>
          <wp:effectExtent l="0" t="0" r="63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Theme="minorEastAsia" w:hAnsiTheme="minorEastAsia" w:eastAsiaTheme="minorEastAsia" w:cstheme="minorEastAsia"/>
        <w:sz w:val="22"/>
        <w:szCs w:val="22"/>
      </w:rPr>
      <w:t xml:space="preserve">山西亚泰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2"/>
        <w:szCs w:val="22"/>
      </w:rPr>
      <w:t>宁武县扶贫开发有限公司2020年统筹整合财政资金绩效评价报告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right w:val="none" w:color="auto" w:sz="0" w:space="0"/>
      </w:pBdr>
      <w:spacing w:line="240" w:lineRule="auto"/>
      <w:ind w:firstLine="0" w:firstLineChars="0"/>
      <w:jc w:val="center"/>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single" w:color="000000" w:sz="4" w:space="1"/>
        <w:right w:val="none" w:color="auto" w:sz="0" w:space="0"/>
      </w:pBdr>
      <w:spacing w:line="240" w:lineRule="auto"/>
      <w:ind w:firstLine="0" w:firstLineChars="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8"/>
        <w:szCs w:val="28"/>
      </w:rPr>
      <w:drawing>
        <wp:inline distT="0" distB="0" distL="114300" distR="114300">
          <wp:extent cx="240665" cy="240665"/>
          <wp:effectExtent l="0" t="0" r="63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Theme="minorEastAsia" w:hAnsiTheme="minorEastAsia" w:eastAsiaTheme="minorEastAsia" w:cstheme="minorEastAsia"/>
        <w:sz w:val="22"/>
        <w:szCs w:val="22"/>
      </w:rPr>
      <w:t>山西亚泰</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2"/>
        <w:szCs w:val="22"/>
      </w:rPr>
      <w:t>宁武县扶贫开发有限公司2020年统筹整合财政资金绩效评价报告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single" w:color="000000" w:sz="4" w:space="1"/>
        <w:right w:val="none" w:color="auto" w:sz="0" w:space="0"/>
      </w:pBdr>
      <w:spacing w:line="240" w:lineRule="auto"/>
      <w:ind w:firstLine="0" w:firstLineChars="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8"/>
        <w:szCs w:val="28"/>
      </w:rPr>
      <w:drawing>
        <wp:inline distT="0" distB="0" distL="114300" distR="114300">
          <wp:extent cx="240665" cy="240665"/>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Theme="minorEastAsia" w:hAnsiTheme="minorEastAsia" w:eastAsiaTheme="minorEastAsia" w:cstheme="minorEastAsia"/>
        <w:sz w:val="22"/>
        <w:szCs w:val="22"/>
      </w:rPr>
      <w:t>山西亚泰</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2"/>
        <w:szCs w:val="22"/>
      </w:rPr>
      <w:t>宁武县扶贫开发有限公司2020年统筹整合财政资金绩效评价报告</w:t>
    </w:r>
  </w:p>
  <w:p>
    <w:pPr>
      <w:pStyle w:val="11"/>
      <w:pBdr>
        <w:top w:val="none" w:color="auto" w:sz="0" w:space="0"/>
        <w:left w:val="none" w:color="auto" w:sz="0" w:space="0"/>
        <w:right w:val="none" w:color="auto" w:sz="0" w:space="0"/>
      </w:pBdr>
      <w:spacing w:line="240" w:lineRule="auto"/>
      <w:ind w:firstLine="0" w:firstLineChars="0"/>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dit="readOnly" w:formatting="1" w:enforcement="0"/>
  <w:defaultTabStop w:val="420"/>
  <w:drawingGridHorizontalSpacing w:val="140"/>
  <w:drawingGridVerticalSpacing w:val="39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lOGVmMDljNzk5ZGMwYjQ4ZmEwMTM4ODM0MWVkMGMifQ=="/>
  </w:docVars>
  <w:rsids>
    <w:rsidRoot w:val="2E6A2B84"/>
    <w:rsid w:val="00070A62"/>
    <w:rsid w:val="00151D37"/>
    <w:rsid w:val="00166410"/>
    <w:rsid w:val="001B7724"/>
    <w:rsid w:val="001B79A9"/>
    <w:rsid w:val="002C5489"/>
    <w:rsid w:val="0030004B"/>
    <w:rsid w:val="003C68BC"/>
    <w:rsid w:val="00472D2A"/>
    <w:rsid w:val="005E1DD5"/>
    <w:rsid w:val="0061611D"/>
    <w:rsid w:val="00632EDD"/>
    <w:rsid w:val="00703783"/>
    <w:rsid w:val="00731946"/>
    <w:rsid w:val="008C4148"/>
    <w:rsid w:val="0098396F"/>
    <w:rsid w:val="00A16419"/>
    <w:rsid w:val="00BE4259"/>
    <w:rsid w:val="00DF4855"/>
    <w:rsid w:val="00F21E95"/>
    <w:rsid w:val="00F87E6E"/>
    <w:rsid w:val="01190D16"/>
    <w:rsid w:val="012A68CE"/>
    <w:rsid w:val="012C377D"/>
    <w:rsid w:val="012D61F6"/>
    <w:rsid w:val="014A2125"/>
    <w:rsid w:val="014E582D"/>
    <w:rsid w:val="01512012"/>
    <w:rsid w:val="015C41FC"/>
    <w:rsid w:val="017B23EB"/>
    <w:rsid w:val="01813501"/>
    <w:rsid w:val="01814A63"/>
    <w:rsid w:val="01954DF1"/>
    <w:rsid w:val="01962D44"/>
    <w:rsid w:val="019C4647"/>
    <w:rsid w:val="01A54475"/>
    <w:rsid w:val="01AA3457"/>
    <w:rsid w:val="01BB1915"/>
    <w:rsid w:val="01C0753F"/>
    <w:rsid w:val="01C41231"/>
    <w:rsid w:val="01CF1544"/>
    <w:rsid w:val="02166539"/>
    <w:rsid w:val="02332C8C"/>
    <w:rsid w:val="023856A1"/>
    <w:rsid w:val="026008F9"/>
    <w:rsid w:val="026650E0"/>
    <w:rsid w:val="027706F2"/>
    <w:rsid w:val="02945EDE"/>
    <w:rsid w:val="02BC0120"/>
    <w:rsid w:val="02C00F47"/>
    <w:rsid w:val="02F03CED"/>
    <w:rsid w:val="0332014A"/>
    <w:rsid w:val="0347507A"/>
    <w:rsid w:val="037A36A2"/>
    <w:rsid w:val="03802AE2"/>
    <w:rsid w:val="0385343C"/>
    <w:rsid w:val="038A616F"/>
    <w:rsid w:val="039B6C58"/>
    <w:rsid w:val="03B15D43"/>
    <w:rsid w:val="03CE4842"/>
    <w:rsid w:val="03DE4AD2"/>
    <w:rsid w:val="04002BB8"/>
    <w:rsid w:val="04015924"/>
    <w:rsid w:val="040E3802"/>
    <w:rsid w:val="042A20AF"/>
    <w:rsid w:val="043161C6"/>
    <w:rsid w:val="04613DC9"/>
    <w:rsid w:val="04740847"/>
    <w:rsid w:val="04883A4C"/>
    <w:rsid w:val="04907942"/>
    <w:rsid w:val="04987716"/>
    <w:rsid w:val="04C0122F"/>
    <w:rsid w:val="04D24042"/>
    <w:rsid w:val="04D37142"/>
    <w:rsid w:val="04EE089A"/>
    <w:rsid w:val="04F10165"/>
    <w:rsid w:val="050955FB"/>
    <w:rsid w:val="05111AB2"/>
    <w:rsid w:val="05277B6F"/>
    <w:rsid w:val="053F4012"/>
    <w:rsid w:val="05401651"/>
    <w:rsid w:val="054035C5"/>
    <w:rsid w:val="054D7B81"/>
    <w:rsid w:val="055D4CF2"/>
    <w:rsid w:val="05661ACA"/>
    <w:rsid w:val="057010E0"/>
    <w:rsid w:val="05741D36"/>
    <w:rsid w:val="05801BDD"/>
    <w:rsid w:val="058C5E13"/>
    <w:rsid w:val="058E4AD4"/>
    <w:rsid w:val="05A32885"/>
    <w:rsid w:val="05AD015B"/>
    <w:rsid w:val="05C036C8"/>
    <w:rsid w:val="05D47089"/>
    <w:rsid w:val="05D747DA"/>
    <w:rsid w:val="05DD1E65"/>
    <w:rsid w:val="05E631BE"/>
    <w:rsid w:val="05EF5CB8"/>
    <w:rsid w:val="0600074B"/>
    <w:rsid w:val="060F06A9"/>
    <w:rsid w:val="06446764"/>
    <w:rsid w:val="065F64C3"/>
    <w:rsid w:val="067A2E29"/>
    <w:rsid w:val="069912EF"/>
    <w:rsid w:val="06B93873"/>
    <w:rsid w:val="06C06DAD"/>
    <w:rsid w:val="06CE330C"/>
    <w:rsid w:val="06ED6387"/>
    <w:rsid w:val="06F91ED3"/>
    <w:rsid w:val="070C2627"/>
    <w:rsid w:val="070E51DB"/>
    <w:rsid w:val="072858C1"/>
    <w:rsid w:val="07310F61"/>
    <w:rsid w:val="07381F8C"/>
    <w:rsid w:val="0750303E"/>
    <w:rsid w:val="07521BBC"/>
    <w:rsid w:val="075A287C"/>
    <w:rsid w:val="075C301C"/>
    <w:rsid w:val="07B3502F"/>
    <w:rsid w:val="07B42514"/>
    <w:rsid w:val="07B83B3F"/>
    <w:rsid w:val="07F81E54"/>
    <w:rsid w:val="07FC7E6F"/>
    <w:rsid w:val="080C5D5D"/>
    <w:rsid w:val="08236CAC"/>
    <w:rsid w:val="08422E17"/>
    <w:rsid w:val="085350B6"/>
    <w:rsid w:val="085F4DED"/>
    <w:rsid w:val="086F5144"/>
    <w:rsid w:val="087B0530"/>
    <w:rsid w:val="088B6920"/>
    <w:rsid w:val="0897054C"/>
    <w:rsid w:val="089A0B21"/>
    <w:rsid w:val="08A22ED9"/>
    <w:rsid w:val="08A47272"/>
    <w:rsid w:val="08B23CD9"/>
    <w:rsid w:val="08B81E44"/>
    <w:rsid w:val="08C727E6"/>
    <w:rsid w:val="08D70467"/>
    <w:rsid w:val="08FA50E4"/>
    <w:rsid w:val="090315AF"/>
    <w:rsid w:val="0910075F"/>
    <w:rsid w:val="094801BA"/>
    <w:rsid w:val="0950287A"/>
    <w:rsid w:val="095776AC"/>
    <w:rsid w:val="095B623A"/>
    <w:rsid w:val="095F237E"/>
    <w:rsid w:val="096B6AEC"/>
    <w:rsid w:val="0978738B"/>
    <w:rsid w:val="09797816"/>
    <w:rsid w:val="09865286"/>
    <w:rsid w:val="09872575"/>
    <w:rsid w:val="09BA442F"/>
    <w:rsid w:val="09CC5871"/>
    <w:rsid w:val="0A044BE6"/>
    <w:rsid w:val="0A0F2E11"/>
    <w:rsid w:val="0A20218F"/>
    <w:rsid w:val="0A246B7D"/>
    <w:rsid w:val="0A3C275D"/>
    <w:rsid w:val="0A3D6E90"/>
    <w:rsid w:val="0A477208"/>
    <w:rsid w:val="0A640813"/>
    <w:rsid w:val="0A68747B"/>
    <w:rsid w:val="0A6A6F40"/>
    <w:rsid w:val="0A733D61"/>
    <w:rsid w:val="0A866F77"/>
    <w:rsid w:val="0AAD00D4"/>
    <w:rsid w:val="0AB35BCB"/>
    <w:rsid w:val="0AB40F62"/>
    <w:rsid w:val="0AF71F48"/>
    <w:rsid w:val="0AFB137F"/>
    <w:rsid w:val="0B024215"/>
    <w:rsid w:val="0B4400C0"/>
    <w:rsid w:val="0B5B4105"/>
    <w:rsid w:val="0B7E3937"/>
    <w:rsid w:val="0BE43E64"/>
    <w:rsid w:val="0C00473A"/>
    <w:rsid w:val="0C087B18"/>
    <w:rsid w:val="0C1741FF"/>
    <w:rsid w:val="0C267029"/>
    <w:rsid w:val="0C556BF8"/>
    <w:rsid w:val="0C5C646A"/>
    <w:rsid w:val="0C75769F"/>
    <w:rsid w:val="0C757950"/>
    <w:rsid w:val="0C802B98"/>
    <w:rsid w:val="0C8155B0"/>
    <w:rsid w:val="0C83197D"/>
    <w:rsid w:val="0C8836F5"/>
    <w:rsid w:val="0CA854C5"/>
    <w:rsid w:val="0CD553EA"/>
    <w:rsid w:val="0CE74950"/>
    <w:rsid w:val="0CF10D7D"/>
    <w:rsid w:val="0D0C4E63"/>
    <w:rsid w:val="0D1349C7"/>
    <w:rsid w:val="0D17158A"/>
    <w:rsid w:val="0D3B2556"/>
    <w:rsid w:val="0D556DA0"/>
    <w:rsid w:val="0D79266D"/>
    <w:rsid w:val="0DA32C04"/>
    <w:rsid w:val="0DA538B8"/>
    <w:rsid w:val="0DF021E4"/>
    <w:rsid w:val="0E0A4ADE"/>
    <w:rsid w:val="0E191754"/>
    <w:rsid w:val="0E1D01DF"/>
    <w:rsid w:val="0E250E55"/>
    <w:rsid w:val="0E26431E"/>
    <w:rsid w:val="0E495C32"/>
    <w:rsid w:val="0E615AD5"/>
    <w:rsid w:val="0E663987"/>
    <w:rsid w:val="0E846A8F"/>
    <w:rsid w:val="0E920A46"/>
    <w:rsid w:val="0E94510C"/>
    <w:rsid w:val="0E9C63BB"/>
    <w:rsid w:val="0EA428AC"/>
    <w:rsid w:val="0EAF7759"/>
    <w:rsid w:val="0EDB7CF2"/>
    <w:rsid w:val="0EEE5C48"/>
    <w:rsid w:val="0EF53BE5"/>
    <w:rsid w:val="0F28659E"/>
    <w:rsid w:val="0F3C0B39"/>
    <w:rsid w:val="0F3E4E76"/>
    <w:rsid w:val="0F5016AA"/>
    <w:rsid w:val="0F673D5A"/>
    <w:rsid w:val="0F8C03C3"/>
    <w:rsid w:val="0F943345"/>
    <w:rsid w:val="0FA85E0B"/>
    <w:rsid w:val="0FAD68D5"/>
    <w:rsid w:val="0FB63405"/>
    <w:rsid w:val="0FC4439F"/>
    <w:rsid w:val="0FE010C6"/>
    <w:rsid w:val="0FE82461"/>
    <w:rsid w:val="10010C75"/>
    <w:rsid w:val="101E30EF"/>
    <w:rsid w:val="10243E20"/>
    <w:rsid w:val="102E5AE6"/>
    <w:rsid w:val="104B1077"/>
    <w:rsid w:val="10552DD4"/>
    <w:rsid w:val="10765F68"/>
    <w:rsid w:val="107F4B7D"/>
    <w:rsid w:val="109A425F"/>
    <w:rsid w:val="10A81F8F"/>
    <w:rsid w:val="10AB2990"/>
    <w:rsid w:val="10AE12E8"/>
    <w:rsid w:val="10C03926"/>
    <w:rsid w:val="10C5479C"/>
    <w:rsid w:val="10DC0E83"/>
    <w:rsid w:val="10E10017"/>
    <w:rsid w:val="10E92BFE"/>
    <w:rsid w:val="110117D3"/>
    <w:rsid w:val="110372DA"/>
    <w:rsid w:val="110E6E55"/>
    <w:rsid w:val="11106EB6"/>
    <w:rsid w:val="111117B0"/>
    <w:rsid w:val="11212CCD"/>
    <w:rsid w:val="112D42AF"/>
    <w:rsid w:val="115625C3"/>
    <w:rsid w:val="11856E08"/>
    <w:rsid w:val="11883546"/>
    <w:rsid w:val="11887CF3"/>
    <w:rsid w:val="11B50765"/>
    <w:rsid w:val="11C62C20"/>
    <w:rsid w:val="11DA73A5"/>
    <w:rsid w:val="11FD772C"/>
    <w:rsid w:val="12197AA4"/>
    <w:rsid w:val="12225E08"/>
    <w:rsid w:val="12233701"/>
    <w:rsid w:val="1227443E"/>
    <w:rsid w:val="12311F00"/>
    <w:rsid w:val="12406622"/>
    <w:rsid w:val="124124B8"/>
    <w:rsid w:val="12572040"/>
    <w:rsid w:val="12611770"/>
    <w:rsid w:val="12614AD4"/>
    <w:rsid w:val="12636198"/>
    <w:rsid w:val="127575E5"/>
    <w:rsid w:val="127C615D"/>
    <w:rsid w:val="12870924"/>
    <w:rsid w:val="12945858"/>
    <w:rsid w:val="12966E37"/>
    <w:rsid w:val="12BE7095"/>
    <w:rsid w:val="12C01A52"/>
    <w:rsid w:val="12CD1645"/>
    <w:rsid w:val="12D17CB8"/>
    <w:rsid w:val="12F24D47"/>
    <w:rsid w:val="12F4372B"/>
    <w:rsid w:val="13112132"/>
    <w:rsid w:val="133A4A0C"/>
    <w:rsid w:val="133D4503"/>
    <w:rsid w:val="13726EE0"/>
    <w:rsid w:val="137D0855"/>
    <w:rsid w:val="13884D66"/>
    <w:rsid w:val="138B1270"/>
    <w:rsid w:val="13972562"/>
    <w:rsid w:val="13990EE9"/>
    <w:rsid w:val="139D323F"/>
    <w:rsid w:val="13A70116"/>
    <w:rsid w:val="13B23E5F"/>
    <w:rsid w:val="13C24B6D"/>
    <w:rsid w:val="13E95B61"/>
    <w:rsid w:val="13FD54CA"/>
    <w:rsid w:val="144944D3"/>
    <w:rsid w:val="144B6108"/>
    <w:rsid w:val="146C6890"/>
    <w:rsid w:val="14704DC1"/>
    <w:rsid w:val="14772F83"/>
    <w:rsid w:val="14816011"/>
    <w:rsid w:val="148D0380"/>
    <w:rsid w:val="14A84FD6"/>
    <w:rsid w:val="14B44CE1"/>
    <w:rsid w:val="14CD7FFB"/>
    <w:rsid w:val="14E03DA3"/>
    <w:rsid w:val="151C7623"/>
    <w:rsid w:val="153349B4"/>
    <w:rsid w:val="154C04F2"/>
    <w:rsid w:val="156E4084"/>
    <w:rsid w:val="15735D78"/>
    <w:rsid w:val="158368AC"/>
    <w:rsid w:val="15857ABB"/>
    <w:rsid w:val="158B5802"/>
    <w:rsid w:val="1599420D"/>
    <w:rsid w:val="15B33B5B"/>
    <w:rsid w:val="15C05ECB"/>
    <w:rsid w:val="15C553AB"/>
    <w:rsid w:val="15E84D0C"/>
    <w:rsid w:val="15E96835"/>
    <w:rsid w:val="1630633C"/>
    <w:rsid w:val="163F05DA"/>
    <w:rsid w:val="164342D3"/>
    <w:rsid w:val="16470366"/>
    <w:rsid w:val="164765CD"/>
    <w:rsid w:val="166011B0"/>
    <w:rsid w:val="16796ED4"/>
    <w:rsid w:val="167A1642"/>
    <w:rsid w:val="16981868"/>
    <w:rsid w:val="169E5D6D"/>
    <w:rsid w:val="16A717C2"/>
    <w:rsid w:val="16B44FD9"/>
    <w:rsid w:val="16C01378"/>
    <w:rsid w:val="16CE459A"/>
    <w:rsid w:val="16E32FB8"/>
    <w:rsid w:val="17082851"/>
    <w:rsid w:val="17117F41"/>
    <w:rsid w:val="1714349B"/>
    <w:rsid w:val="17514CDE"/>
    <w:rsid w:val="176127D3"/>
    <w:rsid w:val="17706BB8"/>
    <w:rsid w:val="17730119"/>
    <w:rsid w:val="177E7436"/>
    <w:rsid w:val="17850F83"/>
    <w:rsid w:val="17890B2B"/>
    <w:rsid w:val="179D1DF6"/>
    <w:rsid w:val="17A9232F"/>
    <w:rsid w:val="17DD00AB"/>
    <w:rsid w:val="17E36252"/>
    <w:rsid w:val="17E564D0"/>
    <w:rsid w:val="17FB6AFB"/>
    <w:rsid w:val="18030338"/>
    <w:rsid w:val="181C43DB"/>
    <w:rsid w:val="182C2F7F"/>
    <w:rsid w:val="18563D55"/>
    <w:rsid w:val="185F4839"/>
    <w:rsid w:val="185F666D"/>
    <w:rsid w:val="18630017"/>
    <w:rsid w:val="188540DF"/>
    <w:rsid w:val="18B42208"/>
    <w:rsid w:val="18E63CA2"/>
    <w:rsid w:val="18F523E0"/>
    <w:rsid w:val="19287EDE"/>
    <w:rsid w:val="1958741D"/>
    <w:rsid w:val="19625540"/>
    <w:rsid w:val="196B77B7"/>
    <w:rsid w:val="197A3154"/>
    <w:rsid w:val="19960499"/>
    <w:rsid w:val="199F2E18"/>
    <w:rsid w:val="19A663D1"/>
    <w:rsid w:val="19B723A0"/>
    <w:rsid w:val="19B9102C"/>
    <w:rsid w:val="19C4251D"/>
    <w:rsid w:val="19D35887"/>
    <w:rsid w:val="19D70C51"/>
    <w:rsid w:val="19FA7CBC"/>
    <w:rsid w:val="1A04705B"/>
    <w:rsid w:val="1A0C17EB"/>
    <w:rsid w:val="1A17014B"/>
    <w:rsid w:val="1A2165DF"/>
    <w:rsid w:val="1A226BC3"/>
    <w:rsid w:val="1A27524A"/>
    <w:rsid w:val="1A4F5B26"/>
    <w:rsid w:val="1A7C64F1"/>
    <w:rsid w:val="1A805EC8"/>
    <w:rsid w:val="1A8D75E2"/>
    <w:rsid w:val="1AA204CD"/>
    <w:rsid w:val="1AA44E44"/>
    <w:rsid w:val="1AAB2485"/>
    <w:rsid w:val="1AAB6505"/>
    <w:rsid w:val="1ABE01BE"/>
    <w:rsid w:val="1AC852EE"/>
    <w:rsid w:val="1AD37F1A"/>
    <w:rsid w:val="1AE103B0"/>
    <w:rsid w:val="1AE71FE5"/>
    <w:rsid w:val="1B366417"/>
    <w:rsid w:val="1B383A0D"/>
    <w:rsid w:val="1B42238F"/>
    <w:rsid w:val="1B4D2CA2"/>
    <w:rsid w:val="1B586868"/>
    <w:rsid w:val="1B851A5C"/>
    <w:rsid w:val="1B8924D7"/>
    <w:rsid w:val="1B896965"/>
    <w:rsid w:val="1B911357"/>
    <w:rsid w:val="1BAE4DC7"/>
    <w:rsid w:val="1BCB48DD"/>
    <w:rsid w:val="1BD663D9"/>
    <w:rsid w:val="1BF1162B"/>
    <w:rsid w:val="1BF964C4"/>
    <w:rsid w:val="1BFA1F19"/>
    <w:rsid w:val="1BFA721E"/>
    <w:rsid w:val="1BFB1D4E"/>
    <w:rsid w:val="1C0D2A1F"/>
    <w:rsid w:val="1C1F5136"/>
    <w:rsid w:val="1C341B85"/>
    <w:rsid w:val="1C3B2740"/>
    <w:rsid w:val="1C4432EC"/>
    <w:rsid w:val="1C4E23B5"/>
    <w:rsid w:val="1C703598"/>
    <w:rsid w:val="1CA34100"/>
    <w:rsid w:val="1CB21E3A"/>
    <w:rsid w:val="1CC17FA5"/>
    <w:rsid w:val="1CD821F7"/>
    <w:rsid w:val="1CEA2E02"/>
    <w:rsid w:val="1D1207F7"/>
    <w:rsid w:val="1D29646F"/>
    <w:rsid w:val="1D2C51CD"/>
    <w:rsid w:val="1D362C9A"/>
    <w:rsid w:val="1D5321C2"/>
    <w:rsid w:val="1D5970D5"/>
    <w:rsid w:val="1D5D7181"/>
    <w:rsid w:val="1D6E35AF"/>
    <w:rsid w:val="1D9B1CE3"/>
    <w:rsid w:val="1DA67C2A"/>
    <w:rsid w:val="1DD0193C"/>
    <w:rsid w:val="1DEB3555"/>
    <w:rsid w:val="1DF03C5B"/>
    <w:rsid w:val="1DF17679"/>
    <w:rsid w:val="1DF85B8A"/>
    <w:rsid w:val="1DFF47FC"/>
    <w:rsid w:val="1E046A22"/>
    <w:rsid w:val="1E0A72A6"/>
    <w:rsid w:val="1E0E4FA4"/>
    <w:rsid w:val="1E125080"/>
    <w:rsid w:val="1E195BB5"/>
    <w:rsid w:val="1E453836"/>
    <w:rsid w:val="1E4D3C59"/>
    <w:rsid w:val="1E62130A"/>
    <w:rsid w:val="1E6222BA"/>
    <w:rsid w:val="1E626382"/>
    <w:rsid w:val="1E6C63D5"/>
    <w:rsid w:val="1E6E264C"/>
    <w:rsid w:val="1E8360B7"/>
    <w:rsid w:val="1E9308A0"/>
    <w:rsid w:val="1E9C63F5"/>
    <w:rsid w:val="1EB6191F"/>
    <w:rsid w:val="1EC960E9"/>
    <w:rsid w:val="1ECE2D1C"/>
    <w:rsid w:val="1ED33DFA"/>
    <w:rsid w:val="1EE4461F"/>
    <w:rsid w:val="1EED322A"/>
    <w:rsid w:val="1F183A38"/>
    <w:rsid w:val="1F526BA8"/>
    <w:rsid w:val="1F527CB9"/>
    <w:rsid w:val="1F5725C0"/>
    <w:rsid w:val="1F57782C"/>
    <w:rsid w:val="1F590191"/>
    <w:rsid w:val="1F7D02D2"/>
    <w:rsid w:val="1F8D2D17"/>
    <w:rsid w:val="1F935928"/>
    <w:rsid w:val="1FA255DE"/>
    <w:rsid w:val="1FDF63E4"/>
    <w:rsid w:val="1FF36AA7"/>
    <w:rsid w:val="2032681D"/>
    <w:rsid w:val="203E4E2B"/>
    <w:rsid w:val="204A06C8"/>
    <w:rsid w:val="204B4C94"/>
    <w:rsid w:val="20527877"/>
    <w:rsid w:val="206A2C93"/>
    <w:rsid w:val="20815A87"/>
    <w:rsid w:val="20823EE5"/>
    <w:rsid w:val="209260EB"/>
    <w:rsid w:val="20A60F7E"/>
    <w:rsid w:val="20B750DF"/>
    <w:rsid w:val="20BF0A79"/>
    <w:rsid w:val="20CA7374"/>
    <w:rsid w:val="20E065F4"/>
    <w:rsid w:val="20F51366"/>
    <w:rsid w:val="211671EB"/>
    <w:rsid w:val="212F6C21"/>
    <w:rsid w:val="213C4EA8"/>
    <w:rsid w:val="21412F2F"/>
    <w:rsid w:val="214F1551"/>
    <w:rsid w:val="216975C6"/>
    <w:rsid w:val="21735AD4"/>
    <w:rsid w:val="218C7C26"/>
    <w:rsid w:val="218E5F13"/>
    <w:rsid w:val="21AA2BC8"/>
    <w:rsid w:val="21BB24E6"/>
    <w:rsid w:val="21C1513D"/>
    <w:rsid w:val="21C871D3"/>
    <w:rsid w:val="21CB308D"/>
    <w:rsid w:val="21CE7CB5"/>
    <w:rsid w:val="21FC4BAD"/>
    <w:rsid w:val="2207352A"/>
    <w:rsid w:val="220933EE"/>
    <w:rsid w:val="221667A8"/>
    <w:rsid w:val="222E6E2D"/>
    <w:rsid w:val="223D2FA1"/>
    <w:rsid w:val="22460C8A"/>
    <w:rsid w:val="224E5D50"/>
    <w:rsid w:val="22577599"/>
    <w:rsid w:val="226C22A6"/>
    <w:rsid w:val="22753B54"/>
    <w:rsid w:val="227D0E4A"/>
    <w:rsid w:val="228B4881"/>
    <w:rsid w:val="22906F17"/>
    <w:rsid w:val="229A62A9"/>
    <w:rsid w:val="22CA0157"/>
    <w:rsid w:val="22D16A35"/>
    <w:rsid w:val="230B4DAB"/>
    <w:rsid w:val="231A28D2"/>
    <w:rsid w:val="231B6173"/>
    <w:rsid w:val="23231D7D"/>
    <w:rsid w:val="2329018D"/>
    <w:rsid w:val="2329304F"/>
    <w:rsid w:val="234223E7"/>
    <w:rsid w:val="234F6350"/>
    <w:rsid w:val="237C4BC4"/>
    <w:rsid w:val="238755E3"/>
    <w:rsid w:val="238B69A7"/>
    <w:rsid w:val="23AD649F"/>
    <w:rsid w:val="23BE0B15"/>
    <w:rsid w:val="23DD0981"/>
    <w:rsid w:val="23DF3661"/>
    <w:rsid w:val="23E06D9A"/>
    <w:rsid w:val="23E629DD"/>
    <w:rsid w:val="23E97DD8"/>
    <w:rsid w:val="23ED4800"/>
    <w:rsid w:val="23F47410"/>
    <w:rsid w:val="240755A6"/>
    <w:rsid w:val="24180C8F"/>
    <w:rsid w:val="24390EE1"/>
    <w:rsid w:val="243C2C02"/>
    <w:rsid w:val="243D715F"/>
    <w:rsid w:val="2465766E"/>
    <w:rsid w:val="24675A22"/>
    <w:rsid w:val="24754F38"/>
    <w:rsid w:val="248B784A"/>
    <w:rsid w:val="24A034A8"/>
    <w:rsid w:val="24A40B3F"/>
    <w:rsid w:val="24A844C1"/>
    <w:rsid w:val="24B033E1"/>
    <w:rsid w:val="24CF58E0"/>
    <w:rsid w:val="24F9518A"/>
    <w:rsid w:val="24FC633F"/>
    <w:rsid w:val="25266B55"/>
    <w:rsid w:val="25466FA5"/>
    <w:rsid w:val="254F6869"/>
    <w:rsid w:val="25775725"/>
    <w:rsid w:val="25845D6B"/>
    <w:rsid w:val="258554C7"/>
    <w:rsid w:val="258729A5"/>
    <w:rsid w:val="259323FC"/>
    <w:rsid w:val="25984109"/>
    <w:rsid w:val="259B06F1"/>
    <w:rsid w:val="259B2531"/>
    <w:rsid w:val="259E196B"/>
    <w:rsid w:val="25B250E0"/>
    <w:rsid w:val="25BC553B"/>
    <w:rsid w:val="25C02992"/>
    <w:rsid w:val="25D54C46"/>
    <w:rsid w:val="25D7171C"/>
    <w:rsid w:val="26136578"/>
    <w:rsid w:val="262234BA"/>
    <w:rsid w:val="26474B65"/>
    <w:rsid w:val="264A4D34"/>
    <w:rsid w:val="265D4B23"/>
    <w:rsid w:val="26675D26"/>
    <w:rsid w:val="26771576"/>
    <w:rsid w:val="2693499E"/>
    <w:rsid w:val="269C2D39"/>
    <w:rsid w:val="26C41AB8"/>
    <w:rsid w:val="26CA49CD"/>
    <w:rsid w:val="26DE43CF"/>
    <w:rsid w:val="26FF4A81"/>
    <w:rsid w:val="27244317"/>
    <w:rsid w:val="272506F1"/>
    <w:rsid w:val="27345C4A"/>
    <w:rsid w:val="27387E86"/>
    <w:rsid w:val="27395806"/>
    <w:rsid w:val="27495534"/>
    <w:rsid w:val="274D4E12"/>
    <w:rsid w:val="275368BE"/>
    <w:rsid w:val="2754033E"/>
    <w:rsid w:val="275903E1"/>
    <w:rsid w:val="27595274"/>
    <w:rsid w:val="277B1E14"/>
    <w:rsid w:val="2792670E"/>
    <w:rsid w:val="27C31158"/>
    <w:rsid w:val="27D54FC0"/>
    <w:rsid w:val="27D944EE"/>
    <w:rsid w:val="27F27DDE"/>
    <w:rsid w:val="27FB1621"/>
    <w:rsid w:val="280D24A0"/>
    <w:rsid w:val="28465DDD"/>
    <w:rsid w:val="28510AE1"/>
    <w:rsid w:val="287501EA"/>
    <w:rsid w:val="28822047"/>
    <w:rsid w:val="289D7F9D"/>
    <w:rsid w:val="28A6006C"/>
    <w:rsid w:val="28AB4E71"/>
    <w:rsid w:val="28B128DA"/>
    <w:rsid w:val="28C70D51"/>
    <w:rsid w:val="28CE3E9B"/>
    <w:rsid w:val="28D10780"/>
    <w:rsid w:val="28DB41E5"/>
    <w:rsid w:val="28DE3AB9"/>
    <w:rsid w:val="28EB4842"/>
    <w:rsid w:val="28FD4688"/>
    <w:rsid w:val="29100D9B"/>
    <w:rsid w:val="29181261"/>
    <w:rsid w:val="29196CFB"/>
    <w:rsid w:val="29224808"/>
    <w:rsid w:val="29240AD7"/>
    <w:rsid w:val="292E24A0"/>
    <w:rsid w:val="293027B6"/>
    <w:rsid w:val="293A37C8"/>
    <w:rsid w:val="294D4D14"/>
    <w:rsid w:val="295C0D81"/>
    <w:rsid w:val="295C605F"/>
    <w:rsid w:val="295E4B05"/>
    <w:rsid w:val="2960450A"/>
    <w:rsid w:val="296B2BD2"/>
    <w:rsid w:val="29981CF1"/>
    <w:rsid w:val="29A8408C"/>
    <w:rsid w:val="29AC2448"/>
    <w:rsid w:val="29B94F24"/>
    <w:rsid w:val="29D565E0"/>
    <w:rsid w:val="29D97BCD"/>
    <w:rsid w:val="29E451BA"/>
    <w:rsid w:val="29F44D17"/>
    <w:rsid w:val="2A04144A"/>
    <w:rsid w:val="2A403B83"/>
    <w:rsid w:val="2A4931BD"/>
    <w:rsid w:val="2A58486E"/>
    <w:rsid w:val="2A5A594C"/>
    <w:rsid w:val="2A5A6F87"/>
    <w:rsid w:val="2A8A24C2"/>
    <w:rsid w:val="2A9552F3"/>
    <w:rsid w:val="2AA96129"/>
    <w:rsid w:val="2AB00E66"/>
    <w:rsid w:val="2ABC1DA2"/>
    <w:rsid w:val="2AE31C1D"/>
    <w:rsid w:val="2AE5745C"/>
    <w:rsid w:val="2AE64338"/>
    <w:rsid w:val="2AE830D7"/>
    <w:rsid w:val="2AEB7D40"/>
    <w:rsid w:val="2AF76BC2"/>
    <w:rsid w:val="2B0A7378"/>
    <w:rsid w:val="2B0F25EE"/>
    <w:rsid w:val="2B405489"/>
    <w:rsid w:val="2B4D50F0"/>
    <w:rsid w:val="2B590C34"/>
    <w:rsid w:val="2B591CE7"/>
    <w:rsid w:val="2B687B23"/>
    <w:rsid w:val="2B6B260F"/>
    <w:rsid w:val="2B6F4F21"/>
    <w:rsid w:val="2B793244"/>
    <w:rsid w:val="2B987D18"/>
    <w:rsid w:val="2B9A2709"/>
    <w:rsid w:val="2BAC6E79"/>
    <w:rsid w:val="2BBE0CED"/>
    <w:rsid w:val="2BC97823"/>
    <w:rsid w:val="2BD43628"/>
    <w:rsid w:val="2BE14FFE"/>
    <w:rsid w:val="2BE51142"/>
    <w:rsid w:val="2BEC428E"/>
    <w:rsid w:val="2BFA43E5"/>
    <w:rsid w:val="2C04144D"/>
    <w:rsid w:val="2C17569C"/>
    <w:rsid w:val="2C1B357C"/>
    <w:rsid w:val="2C20304A"/>
    <w:rsid w:val="2C2220D9"/>
    <w:rsid w:val="2C260A9F"/>
    <w:rsid w:val="2C3F1A02"/>
    <w:rsid w:val="2C467262"/>
    <w:rsid w:val="2C5D1A55"/>
    <w:rsid w:val="2C866D1C"/>
    <w:rsid w:val="2CB941F0"/>
    <w:rsid w:val="2CC23390"/>
    <w:rsid w:val="2CEB4ED0"/>
    <w:rsid w:val="2CF03131"/>
    <w:rsid w:val="2CF078A4"/>
    <w:rsid w:val="2CF07F32"/>
    <w:rsid w:val="2CFA4448"/>
    <w:rsid w:val="2CFB47DC"/>
    <w:rsid w:val="2D08174D"/>
    <w:rsid w:val="2D0F7205"/>
    <w:rsid w:val="2D1A5635"/>
    <w:rsid w:val="2D1B3053"/>
    <w:rsid w:val="2D1F50BE"/>
    <w:rsid w:val="2D305BCC"/>
    <w:rsid w:val="2D4105C7"/>
    <w:rsid w:val="2D48638C"/>
    <w:rsid w:val="2D4A2BF8"/>
    <w:rsid w:val="2D6F166A"/>
    <w:rsid w:val="2D8F260A"/>
    <w:rsid w:val="2D97040A"/>
    <w:rsid w:val="2DA07AF5"/>
    <w:rsid w:val="2DD2758A"/>
    <w:rsid w:val="2DF87871"/>
    <w:rsid w:val="2DFE1007"/>
    <w:rsid w:val="2E2B34AA"/>
    <w:rsid w:val="2E35711F"/>
    <w:rsid w:val="2E397EAD"/>
    <w:rsid w:val="2E4224AC"/>
    <w:rsid w:val="2E4B2AAA"/>
    <w:rsid w:val="2E5C39CD"/>
    <w:rsid w:val="2E6A2B84"/>
    <w:rsid w:val="2E7612A3"/>
    <w:rsid w:val="2E857246"/>
    <w:rsid w:val="2E992286"/>
    <w:rsid w:val="2E9C3878"/>
    <w:rsid w:val="2EA75C8A"/>
    <w:rsid w:val="2EB11899"/>
    <w:rsid w:val="2EBA608C"/>
    <w:rsid w:val="2EDE6AAB"/>
    <w:rsid w:val="2EF5576D"/>
    <w:rsid w:val="2EF6222B"/>
    <w:rsid w:val="2F245889"/>
    <w:rsid w:val="2F4A3762"/>
    <w:rsid w:val="2F5664E2"/>
    <w:rsid w:val="2F5A10E9"/>
    <w:rsid w:val="2F6A2FD6"/>
    <w:rsid w:val="2F824EB6"/>
    <w:rsid w:val="2FBC6931"/>
    <w:rsid w:val="2FCF0F8E"/>
    <w:rsid w:val="2FD2309C"/>
    <w:rsid w:val="2FD615E4"/>
    <w:rsid w:val="2FD63F34"/>
    <w:rsid w:val="2FDF64BC"/>
    <w:rsid w:val="30007C03"/>
    <w:rsid w:val="30253393"/>
    <w:rsid w:val="303C4465"/>
    <w:rsid w:val="303F6996"/>
    <w:rsid w:val="30602BA0"/>
    <w:rsid w:val="30750635"/>
    <w:rsid w:val="30963380"/>
    <w:rsid w:val="30AF3861"/>
    <w:rsid w:val="30B32B94"/>
    <w:rsid w:val="30B40A03"/>
    <w:rsid w:val="30C00D45"/>
    <w:rsid w:val="310142D8"/>
    <w:rsid w:val="31085D41"/>
    <w:rsid w:val="310879B7"/>
    <w:rsid w:val="31466263"/>
    <w:rsid w:val="3146799B"/>
    <w:rsid w:val="316A3FC7"/>
    <w:rsid w:val="316D3DF6"/>
    <w:rsid w:val="31824079"/>
    <w:rsid w:val="318B24CE"/>
    <w:rsid w:val="319574FF"/>
    <w:rsid w:val="31A652A7"/>
    <w:rsid w:val="31AB1206"/>
    <w:rsid w:val="31B55224"/>
    <w:rsid w:val="31BA0208"/>
    <w:rsid w:val="31C327D5"/>
    <w:rsid w:val="31C6557B"/>
    <w:rsid w:val="31C94250"/>
    <w:rsid w:val="31DA0D6C"/>
    <w:rsid w:val="3210509E"/>
    <w:rsid w:val="32367EAF"/>
    <w:rsid w:val="323B23C2"/>
    <w:rsid w:val="32455849"/>
    <w:rsid w:val="32770DA9"/>
    <w:rsid w:val="328A058E"/>
    <w:rsid w:val="328A7902"/>
    <w:rsid w:val="32B20D1C"/>
    <w:rsid w:val="32C62710"/>
    <w:rsid w:val="32ED32F7"/>
    <w:rsid w:val="33042C6D"/>
    <w:rsid w:val="331935FC"/>
    <w:rsid w:val="331F7D5E"/>
    <w:rsid w:val="33213675"/>
    <w:rsid w:val="33275995"/>
    <w:rsid w:val="33480244"/>
    <w:rsid w:val="33506D8C"/>
    <w:rsid w:val="33532519"/>
    <w:rsid w:val="33560D41"/>
    <w:rsid w:val="33752773"/>
    <w:rsid w:val="33775755"/>
    <w:rsid w:val="33884627"/>
    <w:rsid w:val="33A579EB"/>
    <w:rsid w:val="33BA44A9"/>
    <w:rsid w:val="33BC76FC"/>
    <w:rsid w:val="33CF1692"/>
    <w:rsid w:val="33E076EB"/>
    <w:rsid w:val="33ED0920"/>
    <w:rsid w:val="33EE5320"/>
    <w:rsid w:val="340428C3"/>
    <w:rsid w:val="34104DB3"/>
    <w:rsid w:val="341F7131"/>
    <w:rsid w:val="34341325"/>
    <w:rsid w:val="344A6F28"/>
    <w:rsid w:val="345A08B6"/>
    <w:rsid w:val="345A56A8"/>
    <w:rsid w:val="3467772B"/>
    <w:rsid w:val="347C46B5"/>
    <w:rsid w:val="34994444"/>
    <w:rsid w:val="349C169A"/>
    <w:rsid w:val="34A10AA4"/>
    <w:rsid w:val="34A81869"/>
    <w:rsid w:val="34B12AC5"/>
    <w:rsid w:val="34C72695"/>
    <w:rsid w:val="34D049CD"/>
    <w:rsid w:val="34E071B0"/>
    <w:rsid w:val="34F83F4C"/>
    <w:rsid w:val="34F853FC"/>
    <w:rsid w:val="34FE2C83"/>
    <w:rsid w:val="355663C3"/>
    <w:rsid w:val="357274FC"/>
    <w:rsid w:val="357515D8"/>
    <w:rsid w:val="35793102"/>
    <w:rsid w:val="357A2853"/>
    <w:rsid w:val="359758E5"/>
    <w:rsid w:val="35A17368"/>
    <w:rsid w:val="35E57748"/>
    <w:rsid w:val="35FA5C79"/>
    <w:rsid w:val="36194856"/>
    <w:rsid w:val="36212A4A"/>
    <w:rsid w:val="36436E5C"/>
    <w:rsid w:val="368C09C7"/>
    <w:rsid w:val="36975E51"/>
    <w:rsid w:val="369E7D49"/>
    <w:rsid w:val="36A30364"/>
    <w:rsid w:val="36AC6E66"/>
    <w:rsid w:val="36B50D5F"/>
    <w:rsid w:val="36B93320"/>
    <w:rsid w:val="36BD54B5"/>
    <w:rsid w:val="36E940A8"/>
    <w:rsid w:val="36F83F9F"/>
    <w:rsid w:val="37010D42"/>
    <w:rsid w:val="373E16A3"/>
    <w:rsid w:val="37476AB7"/>
    <w:rsid w:val="374D7B76"/>
    <w:rsid w:val="376B1173"/>
    <w:rsid w:val="377B1418"/>
    <w:rsid w:val="37857877"/>
    <w:rsid w:val="378D7584"/>
    <w:rsid w:val="37CA3C05"/>
    <w:rsid w:val="38064FA4"/>
    <w:rsid w:val="386359F9"/>
    <w:rsid w:val="386B752B"/>
    <w:rsid w:val="38870C58"/>
    <w:rsid w:val="38953428"/>
    <w:rsid w:val="389E3DD4"/>
    <w:rsid w:val="389E5FEF"/>
    <w:rsid w:val="38A81BB8"/>
    <w:rsid w:val="38AB32C0"/>
    <w:rsid w:val="38AE7D40"/>
    <w:rsid w:val="38B8706B"/>
    <w:rsid w:val="38C06A07"/>
    <w:rsid w:val="38C87661"/>
    <w:rsid w:val="38E05463"/>
    <w:rsid w:val="38F9607B"/>
    <w:rsid w:val="38FC4FCF"/>
    <w:rsid w:val="390D2839"/>
    <w:rsid w:val="392309B7"/>
    <w:rsid w:val="39301164"/>
    <w:rsid w:val="39406235"/>
    <w:rsid w:val="39460C51"/>
    <w:rsid w:val="3952748A"/>
    <w:rsid w:val="396B0D23"/>
    <w:rsid w:val="39814766"/>
    <w:rsid w:val="39967F9B"/>
    <w:rsid w:val="39B5209E"/>
    <w:rsid w:val="39C86ABC"/>
    <w:rsid w:val="39D21354"/>
    <w:rsid w:val="39DA430D"/>
    <w:rsid w:val="39EA4DD4"/>
    <w:rsid w:val="39EE41EF"/>
    <w:rsid w:val="39EE736C"/>
    <w:rsid w:val="39F83A13"/>
    <w:rsid w:val="3A0A750A"/>
    <w:rsid w:val="3A224C98"/>
    <w:rsid w:val="3A2C21C1"/>
    <w:rsid w:val="3A370E27"/>
    <w:rsid w:val="3A414072"/>
    <w:rsid w:val="3A457FC6"/>
    <w:rsid w:val="3A584EF9"/>
    <w:rsid w:val="3A8F3D0F"/>
    <w:rsid w:val="3AAA05E3"/>
    <w:rsid w:val="3AB05385"/>
    <w:rsid w:val="3ABD146D"/>
    <w:rsid w:val="3AD03642"/>
    <w:rsid w:val="3AD849D6"/>
    <w:rsid w:val="3B4C6BB0"/>
    <w:rsid w:val="3B5F7FC7"/>
    <w:rsid w:val="3B7A5D6F"/>
    <w:rsid w:val="3B7B5928"/>
    <w:rsid w:val="3B8957DD"/>
    <w:rsid w:val="3B8B7C0B"/>
    <w:rsid w:val="3B8C5AE0"/>
    <w:rsid w:val="3B977676"/>
    <w:rsid w:val="3B996A09"/>
    <w:rsid w:val="3BA16071"/>
    <w:rsid w:val="3BB5255F"/>
    <w:rsid w:val="3BB959E5"/>
    <w:rsid w:val="3BC46D08"/>
    <w:rsid w:val="3BCB2EBE"/>
    <w:rsid w:val="3BFA3CF2"/>
    <w:rsid w:val="3C002A4D"/>
    <w:rsid w:val="3C276E00"/>
    <w:rsid w:val="3C547D6B"/>
    <w:rsid w:val="3C585448"/>
    <w:rsid w:val="3C8D4615"/>
    <w:rsid w:val="3CAB06B5"/>
    <w:rsid w:val="3CB12404"/>
    <w:rsid w:val="3CB45AD7"/>
    <w:rsid w:val="3CB465D6"/>
    <w:rsid w:val="3CC529F7"/>
    <w:rsid w:val="3CCF4D03"/>
    <w:rsid w:val="3CD012D5"/>
    <w:rsid w:val="3CD120B3"/>
    <w:rsid w:val="3CEA7D50"/>
    <w:rsid w:val="3D134C04"/>
    <w:rsid w:val="3D161948"/>
    <w:rsid w:val="3D1F4488"/>
    <w:rsid w:val="3D4F1BEC"/>
    <w:rsid w:val="3D57080E"/>
    <w:rsid w:val="3D600CB3"/>
    <w:rsid w:val="3D741C82"/>
    <w:rsid w:val="3D7F141A"/>
    <w:rsid w:val="3D9E46AB"/>
    <w:rsid w:val="3DA747CD"/>
    <w:rsid w:val="3DAA0C1B"/>
    <w:rsid w:val="3DB1736E"/>
    <w:rsid w:val="3E0D3C45"/>
    <w:rsid w:val="3E582301"/>
    <w:rsid w:val="3E5D56EA"/>
    <w:rsid w:val="3E61110B"/>
    <w:rsid w:val="3E685E17"/>
    <w:rsid w:val="3E6A74E9"/>
    <w:rsid w:val="3E72153E"/>
    <w:rsid w:val="3E731A76"/>
    <w:rsid w:val="3E8B4B84"/>
    <w:rsid w:val="3E8B6810"/>
    <w:rsid w:val="3ECC0012"/>
    <w:rsid w:val="3EDF3925"/>
    <w:rsid w:val="3EF0414E"/>
    <w:rsid w:val="3EF364D7"/>
    <w:rsid w:val="3F1727F5"/>
    <w:rsid w:val="3F195A0F"/>
    <w:rsid w:val="3F1C4DE5"/>
    <w:rsid w:val="3F315EB0"/>
    <w:rsid w:val="3F3434CE"/>
    <w:rsid w:val="3F387708"/>
    <w:rsid w:val="3F387CFB"/>
    <w:rsid w:val="3F474725"/>
    <w:rsid w:val="3F4C3D1C"/>
    <w:rsid w:val="3F6604E6"/>
    <w:rsid w:val="3F782F3F"/>
    <w:rsid w:val="3F8C2C33"/>
    <w:rsid w:val="3F9C1CAD"/>
    <w:rsid w:val="3FA15C55"/>
    <w:rsid w:val="3FA3670A"/>
    <w:rsid w:val="3FA825E8"/>
    <w:rsid w:val="3FC9096C"/>
    <w:rsid w:val="3FDA2962"/>
    <w:rsid w:val="3FDB51FD"/>
    <w:rsid w:val="3FED6A61"/>
    <w:rsid w:val="3FEE25A6"/>
    <w:rsid w:val="3FF9143C"/>
    <w:rsid w:val="3FFB0C14"/>
    <w:rsid w:val="404277DD"/>
    <w:rsid w:val="404E3DC9"/>
    <w:rsid w:val="404F10E3"/>
    <w:rsid w:val="405462A1"/>
    <w:rsid w:val="405774AB"/>
    <w:rsid w:val="40631DED"/>
    <w:rsid w:val="40672FD6"/>
    <w:rsid w:val="407413BC"/>
    <w:rsid w:val="40AB70CD"/>
    <w:rsid w:val="40BC2E3E"/>
    <w:rsid w:val="40BD39D4"/>
    <w:rsid w:val="40D11E0F"/>
    <w:rsid w:val="40F02E90"/>
    <w:rsid w:val="40FE11AF"/>
    <w:rsid w:val="41043EA7"/>
    <w:rsid w:val="41046590"/>
    <w:rsid w:val="4119525F"/>
    <w:rsid w:val="41206D76"/>
    <w:rsid w:val="41385251"/>
    <w:rsid w:val="415A7F2C"/>
    <w:rsid w:val="416E5104"/>
    <w:rsid w:val="416F01E6"/>
    <w:rsid w:val="41727385"/>
    <w:rsid w:val="41876FA6"/>
    <w:rsid w:val="418A09F4"/>
    <w:rsid w:val="41923405"/>
    <w:rsid w:val="41A35503"/>
    <w:rsid w:val="41AF2853"/>
    <w:rsid w:val="41B81802"/>
    <w:rsid w:val="41C84E39"/>
    <w:rsid w:val="41DE62C2"/>
    <w:rsid w:val="41EB7421"/>
    <w:rsid w:val="41F01A35"/>
    <w:rsid w:val="422F34B6"/>
    <w:rsid w:val="42305873"/>
    <w:rsid w:val="42326FC3"/>
    <w:rsid w:val="42393D29"/>
    <w:rsid w:val="423F0C5C"/>
    <w:rsid w:val="424A5815"/>
    <w:rsid w:val="424D306B"/>
    <w:rsid w:val="4254740B"/>
    <w:rsid w:val="426A51A2"/>
    <w:rsid w:val="427B7942"/>
    <w:rsid w:val="42A17305"/>
    <w:rsid w:val="42A2092C"/>
    <w:rsid w:val="42AE4717"/>
    <w:rsid w:val="42B01B03"/>
    <w:rsid w:val="42C92DA4"/>
    <w:rsid w:val="42CD5282"/>
    <w:rsid w:val="42D151D3"/>
    <w:rsid w:val="42D9426E"/>
    <w:rsid w:val="42DD122A"/>
    <w:rsid w:val="42F90FFF"/>
    <w:rsid w:val="432E20A3"/>
    <w:rsid w:val="43403052"/>
    <w:rsid w:val="43504D3A"/>
    <w:rsid w:val="43543192"/>
    <w:rsid w:val="43565F94"/>
    <w:rsid w:val="435B6146"/>
    <w:rsid w:val="43671EBF"/>
    <w:rsid w:val="43772EE3"/>
    <w:rsid w:val="4391786A"/>
    <w:rsid w:val="43B00525"/>
    <w:rsid w:val="43BA6EE1"/>
    <w:rsid w:val="43C57CF9"/>
    <w:rsid w:val="43CE1301"/>
    <w:rsid w:val="43D765D6"/>
    <w:rsid w:val="43E06266"/>
    <w:rsid w:val="43EE063F"/>
    <w:rsid w:val="43F35CCA"/>
    <w:rsid w:val="440D29B2"/>
    <w:rsid w:val="44137E1E"/>
    <w:rsid w:val="441E278A"/>
    <w:rsid w:val="44367955"/>
    <w:rsid w:val="4492209A"/>
    <w:rsid w:val="449724CC"/>
    <w:rsid w:val="449A5D35"/>
    <w:rsid w:val="44A373F6"/>
    <w:rsid w:val="44C0426E"/>
    <w:rsid w:val="44D97BA2"/>
    <w:rsid w:val="44FF7315"/>
    <w:rsid w:val="45111D0D"/>
    <w:rsid w:val="45124919"/>
    <w:rsid w:val="451F1A68"/>
    <w:rsid w:val="45331244"/>
    <w:rsid w:val="453942C3"/>
    <w:rsid w:val="45493911"/>
    <w:rsid w:val="455C4D4B"/>
    <w:rsid w:val="455D43C2"/>
    <w:rsid w:val="45621C13"/>
    <w:rsid w:val="456E6945"/>
    <w:rsid w:val="457436E0"/>
    <w:rsid w:val="459513C7"/>
    <w:rsid w:val="45E7264C"/>
    <w:rsid w:val="46052822"/>
    <w:rsid w:val="460D0557"/>
    <w:rsid w:val="46113F90"/>
    <w:rsid w:val="46115F67"/>
    <w:rsid w:val="4620660F"/>
    <w:rsid w:val="46260EA0"/>
    <w:rsid w:val="462B01B2"/>
    <w:rsid w:val="463A177B"/>
    <w:rsid w:val="46490C4A"/>
    <w:rsid w:val="46532423"/>
    <w:rsid w:val="465702A3"/>
    <w:rsid w:val="465A6BE7"/>
    <w:rsid w:val="465C36B4"/>
    <w:rsid w:val="4666117C"/>
    <w:rsid w:val="466C2654"/>
    <w:rsid w:val="46701397"/>
    <w:rsid w:val="467120F7"/>
    <w:rsid w:val="467F11BF"/>
    <w:rsid w:val="46A00372"/>
    <w:rsid w:val="46A04C79"/>
    <w:rsid w:val="46A97F01"/>
    <w:rsid w:val="46B17BFF"/>
    <w:rsid w:val="46B8390E"/>
    <w:rsid w:val="46BB6A26"/>
    <w:rsid w:val="46DA4AB1"/>
    <w:rsid w:val="46EB398F"/>
    <w:rsid w:val="46ED069B"/>
    <w:rsid w:val="46F8087B"/>
    <w:rsid w:val="470B56F9"/>
    <w:rsid w:val="47185722"/>
    <w:rsid w:val="47217705"/>
    <w:rsid w:val="472D23AD"/>
    <w:rsid w:val="47354BFE"/>
    <w:rsid w:val="4752414F"/>
    <w:rsid w:val="47571515"/>
    <w:rsid w:val="47594A4F"/>
    <w:rsid w:val="475D4FD5"/>
    <w:rsid w:val="47792D7C"/>
    <w:rsid w:val="47836582"/>
    <w:rsid w:val="479F2531"/>
    <w:rsid w:val="47B131F0"/>
    <w:rsid w:val="47B65B20"/>
    <w:rsid w:val="47BA179A"/>
    <w:rsid w:val="47CB3D38"/>
    <w:rsid w:val="47F11A8E"/>
    <w:rsid w:val="47F1411C"/>
    <w:rsid w:val="480908C5"/>
    <w:rsid w:val="480B20AA"/>
    <w:rsid w:val="48187201"/>
    <w:rsid w:val="482A01BF"/>
    <w:rsid w:val="48310AB1"/>
    <w:rsid w:val="48440A54"/>
    <w:rsid w:val="484C1A60"/>
    <w:rsid w:val="484F7CCD"/>
    <w:rsid w:val="485A69EC"/>
    <w:rsid w:val="48714B44"/>
    <w:rsid w:val="488222EB"/>
    <w:rsid w:val="489E4BDA"/>
    <w:rsid w:val="48B15732"/>
    <w:rsid w:val="48C62660"/>
    <w:rsid w:val="48DA07D7"/>
    <w:rsid w:val="48EF543C"/>
    <w:rsid w:val="48F20A93"/>
    <w:rsid w:val="491867F3"/>
    <w:rsid w:val="496B3D91"/>
    <w:rsid w:val="498B794F"/>
    <w:rsid w:val="49AE1FDD"/>
    <w:rsid w:val="49BE18E2"/>
    <w:rsid w:val="49D17B3C"/>
    <w:rsid w:val="49D5167D"/>
    <w:rsid w:val="49DD161D"/>
    <w:rsid w:val="49DE5B96"/>
    <w:rsid w:val="49E07F92"/>
    <w:rsid w:val="49E73001"/>
    <w:rsid w:val="4A2C1383"/>
    <w:rsid w:val="4A2F131F"/>
    <w:rsid w:val="4A5D60F6"/>
    <w:rsid w:val="4A6D716B"/>
    <w:rsid w:val="4A725641"/>
    <w:rsid w:val="4A7C5E6C"/>
    <w:rsid w:val="4AA54FAA"/>
    <w:rsid w:val="4AAB3B1D"/>
    <w:rsid w:val="4AC60D92"/>
    <w:rsid w:val="4ADF2354"/>
    <w:rsid w:val="4AF07C29"/>
    <w:rsid w:val="4B010890"/>
    <w:rsid w:val="4B0A682F"/>
    <w:rsid w:val="4B2B2C0E"/>
    <w:rsid w:val="4B4360F3"/>
    <w:rsid w:val="4B501C00"/>
    <w:rsid w:val="4B547FF9"/>
    <w:rsid w:val="4B567CC6"/>
    <w:rsid w:val="4B58381D"/>
    <w:rsid w:val="4B5B1190"/>
    <w:rsid w:val="4B7D65D5"/>
    <w:rsid w:val="4B8049FE"/>
    <w:rsid w:val="4B936AD8"/>
    <w:rsid w:val="4BA44C63"/>
    <w:rsid w:val="4BB82D3A"/>
    <w:rsid w:val="4BCE0986"/>
    <w:rsid w:val="4BEA2F62"/>
    <w:rsid w:val="4BF17E22"/>
    <w:rsid w:val="4BF56214"/>
    <w:rsid w:val="4BFB415C"/>
    <w:rsid w:val="4C171B93"/>
    <w:rsid w:val="4C260CF9"/>
    <w:rsid w:val="4C3834EB"/>
    <w:rsid w:val="4C43140F"/>
    <w:rsid w:val="4C485734"/>
    <w:rsid w:val="4C5078FF"/>
    <w:rsid w:val="4C7139A8"/>
    <w:rsid w:val="4C7F4625"/>
    <w:rsid w:val="4C9A37BD"/>
    <w:rsid w:val="4CBC1BBB"/>
    <w:rsid w:val="4CC56E62"/>
    <w:rsid w:val="4CDE27F3"/>
    <w:rsid w:val="4CF772B5"/>
    <w:rsid w:val="4CFD28C3"/>
    <w:rsid w:val="4D0A17D8"/>
    <w:rsid w:val="4D1978A3"/>
    <w:rsid w:val="4D1A1E25"/>
    <w:rsid w:val="4D267F89"/>
    <w:rsid w:val="4D355ED7"/>
    <w:rsid w:val="4D357584"/>
    <w:rsid w:val="4D3B7475"/>
    <w:rsid w:val="4D3E5B8D"/>
    <w:rsid w:val="4D447A21"/>
    <w:rsid w:val="4D5A631E"/>
    <w:rsid w:val="4D62177A"/>
    <w:rsid w:val="4D653AF8"/>
    <w:rsid w:val="4D6D7971"/>
    <w:rsid w:val="4D7E1BFE"/>
    <w:rsid w:val="4D841178"/>
    <w:rsid w:val="4D8D36C1"/>
    <w:rsid w:val="4D997D56"/>
    <w:rsid w:val="4D9E2300"/>
    <w:rsid w:val="4DD23256"/>
    <w:rsid w:val="4DE06AAB"/>
    <w:rsid w:val="4DE3002B"/>
    <w:rsid w:val="4DE30F55"/>
    <w:rsid w:val="4E0F717F"/>
    <w:rsid w:val="4E1A1479"/>
    <w:rsid w:val="4E2620B8"/>
    <w:rsid w:val="4E2D30B7"/>
    <w:rsid w:val="4E3C74AB"/>
    <w:rsid w:val="4E3D32A0"/>
    <w:rsid w:val="4E7A54CE"/>
    <w:rsid w:val="4E7B206C"/>
    <w:rsid w:val="4E866E88"/>
    <w:rsid w:val="4E8A2B28"/>
    <w:rsid w:val="4ED42EFA"/>
    <w:rsid w:val="4ED43ACE"/>
    <w:rsid w:val="4EE24E35"/>
    <w:rsid w:val="4EF90CA7"/>
    <w:rsid w:val="4F107366"/>
    <w:rsid w:val="4F410BD2"/>
    <w:rsid w:val="4F423891"/>
    <w:rsid w:val="4F45538A"/>
    <w:rsid w:val="4F550CC9"/>
    <w:rsid w:val="4F6D0B9B"/>
    <w:rsid w:val="4F72262C"/>
    <w:rsid w:val="4F7A3C60"/>
    <w:rsid w:val="4F8F11CC"/>
    <w:rsid w:val="4FB36712"/>
    <w:rsid w:val="4FC74BC1"/>
    <w:rsid w:val="4FD0239A"/>
    <w:rsid w:val="4FDF51C6"/>
    <w:rsid w:val="4FF90320"/>
    <w:rsid w:val="4FFA3095"/>
    <w:rsid w:val="500C58BA"/>
    <w:rsid w:val="500C7349"/>
    <w:rsid w:val="500F38FC"/>
    <w:rsid w:val="50144E15"/>
    <w:rsid w:val="50151C9D"/>
    <w:rsid w:val="50223B85"/>
    <w:rsid w:val="50246EC8"/>
    <w:rsid w:val="503F0765"/>
    <w:rsid w:val="50425775"/>
    <w:rsid w:val="50550823"/>
    <w:rsid w:val="50551BBF"/>
    <w:rsid w:val="506555D2"/>
    <w:rsid w:val="50AB678D"/>
    <w:rsid w:val="50BD5B30"/>
    <w:rsid w:val="50BF5593"/>
    <w:rsid w:val="50CC660C"/>
    <w:rsid w:val="50D74301"/>
    <w:rsid w:val="511569F5"/>
    <w:rsid w:val="511A0ACB"/>
    <w:rsid w:val="5123120E"/>
    <w:rsid w:val="51247452"/>
    <w:rsid w:val="51265935"/>
    <w:rsid w:val="51286043"/>
    <w:rsid w:val="51484609"/>
    <w:rsid w:val="51794CC1"/>
    <w:rsid w:val="51822EEB"/>
    <w:rsid w:val="51921236"/>
    <w:rsid w:val="51D17E8A"/>
    <w:rsid w:val="51E57EA5"/>
    <w:rsid w:val="51F415F5"/>
    <w:rsid w:val="522104AA"/>
    <w:rsid w:val="52272F39"/>
    <w:rsid w:val="52436605"/>
    <w:rsid w:val="52440483"/>
    <w:rsid w:val="524965F5"/>
    <w:rsid w:val="52536B2B"/>
    <w:rsid w:val="526A5E6B"/>
    <w:rsid w:val="526C2A74"/>
    <w:rsid w:val="526D6689"/>
    <w:rsid w:val="5299767A"/>
    <w:rsid w:val="52AD4099"/>
    <w:rsid w:val="52BE0512"/>
    <w:rsid w:val="52C23AEB"/>
    <w:rsid w:val="52C94331"/>
    <w:rsid w:val="52DE2016"/>
    <w:rsid w:val="52EF1C4F"/>
    <w:rsid w:val="52FE56D9"/>
    <w:rsid w:val="53020EC0"/>
    <w:rsid w:val="53165ACD"/>
    <w:rsid w:val="531978BC"/>
    <w:rsid w:val="531B1586"/>
    <w:rsid w:val="531E46B7"/>
    <w:rsid w:val="533E6E98"/>
    <w:rsid w:val="534E7AD3"/>
    <w:rsid w:val="53681C3A"/>
    <w:rsid w:val="538734A0"/>
    <w:rsid w:val="53981FAB"/>
    <w:rsid w:val="53A007D3"/>
    <w:rsid w:val="53AD0F22"/>
    <w:rsid w:val="53F374C5"/>
    <w:rsid w:val="541544FB"/>
    <w:rsid w:val="541C7C40"/>
    <w:rsid w:val="543547EF"/>
    <w:rsid w:val="543744C9"/>
    <w:rsid w:val="54456F7C"/>
    <w:rsid w:val="54517968"/>
    <w:rsid w:val="54A469DF"/>
    <w:rsid w:val="54C07B3D"/>
    <w:rsid w:val="54C17CEA"/>
    <w:rsid w:val="54CA42D7"/>
    <w:rsid w:val="54CE63BB"/>
    <w:rsid w:val="54DA576F"/>
    <w:rsid w:val="54E35710"/>
    <w:rsid w:val="54F454C9"/>
    <w:rsid w:val="55183D84"/>
    <w:rsid w:val="552516F8"/>
    <w:rsid w:val="552C20F8"/>
    <w:rsid w:val="555648D7"/>
    <w:rsid w:val="555A0108"/>
    <w:rsid w:val="555E1733"/>
    <w:rsid w:val="557B3026"/>
    <w:rsid w:val="55804060"/>
    <w:rsid w:val="558209BB"/>
    <w:rsid w:val="559D1F13"/>
    <w:rsid w:val="559D7B91"/>
    <w:rsid w:val="55B71FBC"/>
    <w:rsid w:val="55CA2EFB"/>
    <w:rsid w:val="55CC746D"/>
    <w:rsid w:val="55D152A6"/>
    <w:rsid w:val="55D329E2"/>
    <w:rsid w:val="55DA73FC"/>
    <w:rsid w:val="56177D39"/>
    <w:rsid w:val="561F31C5"/>
    <w:rsid w:val="562D29ED"/>
    <w:rsid w:val="56345EBC"/>
    <w:rsid w:val="563F2A3F"/>
    <w:rsid w:val="56602E24"/>
    <w:rsid w:val="56632BC7"/>
    <w:rsid w:val="56705FB3"/>
    <w:rsid w:val="568876DE"/>
    <w:rsid w:val="569B6095"/>
    <w:rsid w:val="56A54D8F"/>
    <w:rsid w:val="56A60FEB"/>
    <w:rsid w:val="56A73049"/>
    <w:rsid w:val="56B74ED2"/>
    <w:rsid w:val="56CE11EC"/>
    <w:rsid w:val="56DF6A4C"/>
    <w:rsid w:val="56EA4002"/>
    <w:rsid w:val="56EB5E49"/>
    <w:rsid w:val="56F40A2A"/>
    <w:rsid w:val="56F76AEC"/>
    <w:rsid w:val="56FE7103"/>
    <w:rsid w:val="57051A8E"/>
    <w:rsid w:val="57056E11"/>
    <w:rsid w:val="570F2B7F"/>
    <w:rsid w:val="571C12B4"/>
    <w:rsid w:val="573D11D3"/>
    <w:rsid w:val="57487EC1"/>
    <w:rsid w:val="574F06DB"/>
    <w:rsid w:val="57594140"/>
    <w:rsid w:val="575C5ED5"/>
    <w:rsid w:val="575D6629"/>
    <w:rsid w:val="575E00D2"/>
    <w:rsid w:val="577211BB"/>
    <w:rsid w:val="57792936"/>
    <w:rsid w:val="578109FF"/>
    <w:rsid w:val="57813BD5"/>
    <w:rsid w:val="578177A2"/>
    <w:rsid w:val="57BC3654"/>
    <w:rsid w:val="57C70D19"/>
    <w:rsid w:val="57E107DF"/>
    <w:rsid w:val="57ED389B"/>
    <w:rsid w:val="58093C65"/>
    <w:rsid w:val="5835413B"/>
    <w:rsid w:val="58374235"/>
    <w:rsid w:val="583D5457"/>
    <w:rsid w:val="58614300"/>
    <w:rsid w:val="58686E02"/>
    <w:rsid w:val="58A049C7"/>
    <w:rsid w:val="58A330ED"/>
    <w:rsid w:val="58A94CFE"/>
    <w:rsid w:val="58A97470"/>
    <w:rsid w:val="58BC4058"/>
    <w:rsid w:val="58D35F52"/>
    <w:rsid w:val="58D76DD0"/>
    <w:rsid w:val="58DD70B9"/>
    <w:rsid w:val="58FC7EA8"/>
    <w:rsid w:val="590D176A"/>
    <w:rsid w:val="590D3B09"/>
    <w:rsid w:val="591C5A6B"/>
    <w:rsid w:val="59280474"/>
    <w:rsid w:val="592A069B"/>
    <w:rsid w:val="59472EF6"/>
    <w:rsid w:val="596455E2"/>
    <w:rsid w:val="59F71524"/>
    <w:rsid w:val="5A1402CC"/>
    <w:rsid w:val="5A1542D8"/>
    <w:rsid w:val="5A1616CE"/>
    <w:rsid w:val="5A307F01"/>
    <w:rsid w:val="5A4009A8"/>
    <w:rsid w:val="5A4F321A"/>
    <w:rsid w:val="5A553C3A"/>
    <w:rsid w:val="5A630199"/>
    <w:rsid w:val="5A775598"/>
    <w:rsid w:val="5A7B11EF"/>
    <w:rsid w:val="5A841222"/>
    <w:rsid w:val="5AD93DFD"/>
    <w:rsid w:val="5ADD7ED9"/>
    <w:rsid w:val="5AE048CD"/>
    <w:rsid w:val="5AE21353"/>
    <w:rsid w:val="5AE70B10"/>
    <w:rsid w:val="5B093DCD"/>
    <w:rsid w:val="5B180C4A"/>
    <w:rsid w:val="5B463A84"/>
    <w:rsid w:val="5B616B9E"/>
    <w:rsid w:val="5B621210"/>
    <w:rsid w:val="5B6F782C"/>
    <w:rsid w:val="5B786886"/>
    <w:rsid w:val="5B7B115E"/>
    <w:rsid w:val="5B7B305E"/>
    <w:rsid w:val="5B83283B"/>
    <w:rsid w:val="5B9B13DC"/>
    <w:rsid w:val="5BAA5192"/>
    <w:rsid w:val="5BC102E4"/>
    <w:rsid w:val="5BE97C10"/>
    <w:rsid w:val="5C0144B9"/>
    <w:rsid w:val="5C04005D"/>
    <w:rsid w:val="5C061F8E"/>
    <w:rsid w:val="5C135C7E"/>
    <w:rsid w:val="5C1D433F"/>
    <w:rsid w:val="5C2659E5"/>
    <w:rsid w:val="5C2D1015"/>
    <w:rsid w:val="5C2E23F3"/>
    <w:rsid w:val="5C694C7F"/>
    <w:rsid w:val="5C6F6B15"/>
    <w:rsid w:val="5C8A4E13"/>
    <w:rsid w:val="5C9327DD"/>
    <w:rsid w:val="5CAC1385"/>
    <w:rsid w:val="5CC67DA3"/>
    <w:rsid w:val="5CD01559"/>
    <w:rsid w:val="5D0B1ACB"/>
    <w:rsid w:val="5D210A11"/>
    <w:rsid w:val="5D210D3B"/>
    <w:rsid w:val="5D2B58FB"/>
    <w:rsid w:val="5D2D3DC3"/>
    <w:rsid w:val="5D354714"/>
    <w:rsid w:val="5D5061F6"/>
    <w:rsid w:val="5D5D28CB"/>
    <w:rsid w:val="5D5E72A3"/>
    <w:rsid w:val="5DA07834"/>
    <w:rsid w:val="5DA6093A"/>
    <w:rsid w:val="5DAD1FB0"/>
    <w:rsid w:val="5DD739DB"/>
    <w:rsid w:val="5DD81327"/>
    <w:rsid w:val="5DE80B25"/>
    <w:rsid w:val="5DFB0D8F"/>
    <w:rsid w:val="5E007C1C"/>
    <w:rsid w:val="5E0E4A36"/>
    <w:rsid w:val="5E152D9A"/>
    <w:rsid w:val="5E746683"/>
    <w:rsid w:val="5E937ADE"/>
    <w:rsid w:val="5E9F1C3F"/>
    <w:rsid w:val="5EA72AA0"/>
    <w:rsid w:val="5EB13C4A"/>
    <w:rsid w:val="5EB76065"/>
    <w:rsid w:val="5EF02F9E"/>
    <w:rsid w:val="5EFC0A61"/>
    <w:rsid w:val="5F1D1E4C"/>
    <w:rsid w:val="5F1E4B43"/>
    <w:rsid w:val="5F41155B"/>
    <w:rsid w:val="5F4C0A83"/>
    <w:rsid w:val="5F5A61A1"/>
    <w:rsid w:val="5F5D46E6"/>
    <w:rsid w:val="5F6760F0"/>
    <w:rsid w:val="5F690596"/>
    <w:rsid w:val="5F9C1CE0"/>
    <w:rsid w:val="5F9D3175"/>
    <w:rsid w:val="5FD26B7E"/>
    <w:rsid w:val="5FDB1CE5"/>
    <w:rsid w:val="5FDD755F"/>
    <w:rsid w:val="5FF34048"/>
    <w:rsid w:val="600123DB"/>
    <w:rsid w:val="60080C2F"/>
    <w:rsid w:val="600B56E4"/>
    <w:rsid w:val="601B6563"/>
    <w:rsid w:val="60214E7D"/>
    <w:rsid w:val="60357D0F"/>
    <w:rsid w:val="60406228"/>
    <w:rsid w:val="604531C3"/>
    <w:rsid w:val="60580867"/>
    <w:rsid w:val="606C6B0A"/>
    <w:rsid w:val="60715869"/>
    <w:rsid w:val="60805E17"/>
    <w:rsid w:val="608F357D"/>
    <w:rsid w:val="609A42D4"/>
    <w:rsid w:val="60A62EC9"/>
    <w:rsid w:val="60D45A91"/>
    <w:rsid w:val="60DD6CEB"/>
    <w:rsid w:val="61012BEF"/>
    <w:rsid w:val="61013AC3"/>
    <w:rsid w:val="610931E2"/>
    <w:rsid w:val="61200DEC"/>
    <w:rsid w:val="612A3050"/>
    <w:rsid w:val="612B0C0A"/>
    <w:rsid w:val="6149215A"/>
    <w:rsid w:val="614E68C8"/>
    <w:rsid w:val="61616AE0"/>
    <w:rsid w:val="616361ED"/>
    <w:rsid w:val="616C5FCA"/>
    <w:rsid w:val="617C18D9"/>
    <w:rsid w:val="617E6442"/>
    <w:rsid w:val="61944F38"/>
    <w:rsid w:val="619B2336"/>
    <w:rsid w:val="61A5484F"/>
    <w:rsid w:val="61D35CD1"/>
    <w:rsid w:val="61DE5889"/>
    <w:rsid w:val="62010E0B"/>
    <w:rsid w:val="620D2908"/>
    <w:rsid w:val="623B1E55"/>
    <w:rsid w:val="62410A85"/>
    <w:rsid w:val="625A4D82"/>
    <w:rsid w:val="6284686A"/>
    <w:rsid w:val="62932A54"/>
    <w:rsid w:val="62941657"/>
    <w:rsid w:val="629932BE"/>
    <w:rsid w:val="629A06C0"/>
    <w:rsid w:val="62AF4EBA"/>
    <w:rsid w:val="62C03CEF"/>
    <w:rsid w:val="62C62902"/>
    <w:rsid w:val="63041EBE"/>
    <w:rsid w:val="630B24F7"/>
    <w:rsid w:val="632020F3"/>
    <w:rsid w:val="63246D2B"/>
    <w:rsid w:val="632E1F63"/>
    <w:rsid w:val="633621EB"/>
    <w:rsid w:val="6347137E"/>
    <w:rsid w:val="63765718"/>
    <w:rsid w:val="637830E2"/>
    <w:rsid w:val="637C6787"/>
    <w:rsid w:val="638C3DED"/>
    <w:rsid w:val="63AC30F8"/>
    <w:rsid w:val="63B11E58"/>
    <w:rsid w:val="63C50A8F"/>
    <w:rsid w:val="63CC60A6"/>
    <w:rsid w:val="63F2073F"/>
    <w:rsid w:val="63F61235"/>
    <w:rsid w:val="6446657E"/>
    <w:rsid w:val="644E410B"/>
    <w:rsid w:val="6465538A"/>
    <w:rsid w:val="64692A6A"/>
    <w:rsid w:val="646D768E"/>
    <w:rsid w:val="647076DB"/>
    <w:rsid w:val="64727434"/>
    <w:rsid w:val="64840195"/>
    <w:rsid w:val="648A4B78"/>
    <w:rsid w:val="64901BD1"/>
    <w:rsid w:val="649355EA"/>
    <w:rsid w:val="64982C7C"/>
    <w:rsid w:val="64991BB4"/>
    <w:rsid w:val="64B51C0D"/>
    <w:rsid w:val="64BD5509"/>
    <w:rsid w:val="64C03C61"/>
    <w:rsid w:val="64C9632A"/>
    <w:rsid w:val="64F8789F"/>
    <w:rsid w:val="64FD2C3A"/>
    <w:rsid w:val="650B5856"/>
    <w:rsid w:val="650E0AF1"/>
    <w:rsid w:val="65216271"/>
    <w:rsid w:val="652352FD"/>
    <w:rsid w:val="6529496A"/>
    <w:rsid w:val="654B1316"/>
    <w:rsid w:val="65566ED6"/>
    <w:rsid w:val="6569254B"/>
    <w:rsid w:val="656D0AE4"/>
    <w:rsid w:val="657204B1"/>
    <w:rsid w:val="659271EC"/>
    <w:rsid w:val="659979DF"/>
    <w:rsid w:val="65A802B2"/>
    <w:rsid w:val="65B11165"/>
    <w:rsid w:val="65C27D8F"/>
    <w:rsid w:val="65F8256C"/>
    <w:rsid w:val="660173C0"/>
    <w:rsid w:val="661628D9"/>
    <w:rsid w:val="66367681"/>
    <w:rsid w:val="66536777"/>
    <w:rsid w:val="66655CA5"/>
    <w:rsid w:val="666A2D74"/>
    <w:rsid w:val="669E685C"/>
    <w:rsid w:val="66AA55D4"/>
    <w:rsid w:val="66AF7E0E"/>
    <w:rsid w:val="66B1774E"/>
    <w:rsid w:val="66B23A7E"/>
    <w:rsid w:val="66DE55D9"/>
    <w:rsid w:val="66F7568E"/>
    <w:rsid w:val="670D40C7"/>
    <w:rsid w:val="671D59BC"/>
    <w:rsid w:val="672047E0"/>
    <w:rsid w:val="6729337C"/>
    <w:rsid w:val="675B0B46"/>
    <w:rsid w:val="675B7459"/>
    <w:rsid w:val="676423AF"/>
    <w:rsid w:val="67832B70"/>
    <w:rsid w:val="67866835"/>
    <w:rsid w:val="67935E6D"/>
    <w:rsid w:val="679C6021"/>
    <w:rsid w:val="67E6680A"/>
    <w:rsid w:val="67FF7C12"/>
    <w:rsid w:val="680033BA"/>
    <w:rsid w:val="680B4815"/>
    <w:rsid w:val="681E1040"/>
    <w:rsid w:val="683969BE"/>
    <w:rsid w:val="68446636"/>
    <w:rsid w:val="686B4497"/>
    <w:rsid w:val="68804DF0"/>
    <w:rsid w:val="68863099"/>
    <w:rsid w:val="68A4162C"/>
    <w:rsid w:val="68A90555"/>
    <w:rsid w:val="68AC6F2A"/>
    <w:rsid w:val="68B16618"/>
    <w:rsid w:val="68BC29F2"/>
    <w:rsid w:val="68BE55B7"/>
    <w:rsid w:val="68DA7198"/>
    <w:rsid w:val="68E55B69"/>
    <w:rsid w:val="68F92B8C"/>
    <w:rsid w:val="68F93E3B"/>
    <w:rsid w:val="692815CF"/>
    <w:rsid w:val="69463E35"/>
    <w:rsid w:val="694D43A1"/>
    <w:rsid w:val="699927C4"/>
    <w:rsid w:val="69AE662E"/>
    <w:rsid w:val="69CB37D4"/>
    <w:rsid w:val="69D136A1"/>
    <w:rsid w:val="69D1439C"/>
    <w:rsid w:val="69D87C9F"/>
    <w:rsid w:val="69DF2B56"/>
    <w:rsid w:val="69DF6D80"/>
    <w:rsid w:val="6A215C76"/>
    <w:rsid w:val="6A3942F5"/>
    <w:rsid w:val="6A3D4874"/>
    <w:rsid w:val="6A4044E4"/>
    <w:rsid w:val="6A457B65"/>
    <w:rsid w:val="6A515DB7"/>
    <w:rsid w:val="6A780722"/>
    <w:rsid w:val="6A98358F"/>
    <w:rsid w:val="6A9B2D92"/>
    <w:rsid w:val="6AB80D7B"/>
    <w:rsid w:val="6ABD33AB"/>
    <w:rsid w:val="6AC91836"/>
    <w:rsid w:val="6ACB72DC"/>
    <w:rsid w:val="6AD60984"/>
    <w:rsid w:val="6B0E14D1"/>
    <w:rsid w:val="6B100C7D"/>
    <w:rsid w:val="6B174D21"/>
    <w:rsid w:val="6B1D439F"/>
    <w:rsid w:val="6B515115"/>
    <w:rsid w:val="6B66073E"/>
    <w:rsid w:val="6B752DE4"/>
    <w:rsid w:val="6B7900EB"/>
    <w:rsid w:val="6B906C9B"/>
    <w:rsid w:val="6BA071A3"/>
    <w:rsid w:val="6BA8091C"/>
    <w:rsid w:val="6BAF08D4"/>
    <w:rsid w:val="6BB7436A"/>
    <w:rsid w:val="6BC23CE0"/>
    <w:rsid w:val="6BC55D72"/>
    <w:rsid w:val="6BE20844"/>
    <w:rsid w:val="6C0D29F3"/>
    <w:rsid w:val="6C1E39A9"/>
    <w:rsid w:val="6C316B27"/>
    <w:rsid w:val="6C420FA3"/>
    <w:rsid w:val="6C4D57F2"/>
    <w:rsid w:val="6C5D05D2"/>
    <w:rsid w:val="6C883F5B"/>
    <w:rsid w:val="6C954A31"/>
    <w:rsid w:val="6CAF3C42"/>
    <w:rsid w:val="6CBB1E35"/>
    <w:rsid w:val="6CBD7E35"/>
    <w:rsid w:val="6CC56FA6"/>
    <w:rsid w:val="6CCC65EF"/>
    <w:rsid w:val="6CD71472"/>
    <w:rsid w:val="6CF304DF"/>
    <w:rsid w:val="6CF55EE7"/>
    <w:rsid w:val="6CF60BB0"/>
    <w:rsid w:val="6D0E154C"/>
    <w:rsid w:val="6D290768"/>
    <w:rsid w:val="6D3215BE"/>
    <w:rsid w:val="6D461FC7"/>
    <w:rsid w:val="6D49604C"/>
    <w:rsid w:val="6D5A0812"/>
    <w:rsid w:val="6D5F754E"/>
    <w:rsid w:val="6D6D6950"/>
    <w:rsid w:val="6D9D534A"/>
    <w:rsid w:val="6DB849D7"/>
    <w:rsid w:val="6DB9025F"/>
    <w:rsid w:val="6DBC708E"/>
    <w:rsid w:val="6DC04404"/>
    <w:rsid w:val="6DDB529E"/>
    <w:rsid w:val="6DE755A0"/>
    <w:rsid w:val="6DEC239F"/>
    <w:rsid w:val="6DED4D3C"/>
    <w:rsid w:val="6E014D7F"/>
    <w:rsid w:val="6E0B2B13"/>
    <w:rsid w:val="6E0C5406"/>
    <w:rsid w:val="6E1A0508"/>
    <w:rsid w:val="6E1D1874"/>
    <w:rsid w:val="6E3D5776"/>
    <w:rsid w:val="6E5673E4"/>
    <w:rsid w:val="6E5C17A3"/>
    <w:rsid w:val="6E8B2F81"/>
    <w:rsid w:val="6E954D77"/>
    <w:rsid w:val="6EA92D81"/>
    <w:rsid w:val="6EB43F50"/>
    <w:rsid w:val="6EF1234B"/>
    <w:rsid w:val="6EF235B1"/>
    <w:rsid w:val="6F1D2D79"/>
    <w:rsid w:val="6F2363F0"/>
    <w:rsid w:val="6F2A414F"/>
    <w:rsid w:val="6F3434A8"/>
    <w:rsid w:val="6F493B46"/>
    <w:rsid w:val="6F4A59EA"/>
    <w:rsid w:val="6F5A70A9"/>
    <w:rsid w:val="6F5D77FF"/>
    <w:rsid w:val="6F683D95"/>
    <w:rsid w:val="6F6B5B61"/>
    <w:rsid w:val="6F751A20"/>
    <w:rsid w:val="6FB04749"/>
    <w:rsid w:val="6FB4393E"/>
    <w:rsid w:val="6FC2151B"/>
    <w:rsid w:val="70175D31"/>
    <w:rsid w:val="7028106A"/>
    <w:rsid w:val="702B5A53"/>
    <w:rsid w:val="702D7B7D"/>
    <w:rsid w:val="70453A4F"/>
    <w:rsid w:val="704656C0"/>
    <w:rsid w:val="704C4ABB"/>
    <w:rsid w:val="70760167"/>
    <w:rsid w:val="707C2022"/>
    <w:rsid w:val="70827302"/>
    <w:rsid w:val="708312D0"/>
    <w:rsid w:val="70864D54"/>
    <w:rsid w:val="70AD5EA2"/>
    <w:rsid w:val="70B64B80"/>
    <w:rsid w:val="70B8500F"/>
    <w:rsid w:val="70C57F50"/>
    <w:rsid w:val="70FD2B10"/>
    <w:rsid w:val="71095E69"/>
    <w:rsid w:val="711B7CFC"/>
    <w:rsid w:val="71276F82"/>
    <w:rsid w:val="714042ED"/>
    <w:rsid w:val="71445C44"/>
    <w:rsid w:val="714638BD"/>
    <w:rsid w:val="716274B0"/>
    <w:rsid w:val="716A7BCC"/>
    <w:rsid w:val="71A34CF3"/>
    <w:rsid w:val="71AD63D6"/>
    <w:rsid w:val="71CC3834"/>
    <w:rsid w:val="71DF51DE"/>
    <w:rsid w:val="71E23F89"/>
    <w:rsid w:val="71E91B1A"/>
    <w:rsid w:val="71E92075"/>
    <w:rsid w:val="71EB6ADD"/>
    <w:rsid w:val="720B6EA2"/>
    <w:rsid w:val="720C6AD1"/>
    <w:rsid w:val="721E1AF0"/>
    <w:rsid w:val="721E4041"/>
    <w:rsid w:val="72247B32"/>
    <w:rsid w:val="7238710C"/>
    <w:rsid w:val="726D788D"/>
    <w:rsid w:val="72867FFB"/>
    <w:rsid w:val="729D6426"/>
    <w:rsid w:val="72A01749"/>
    <w:rsid w:val="72C05FC8"/>
    <w:rsid w:val="72C07712"/>
    <w:rsid w:val="72D00B0F"/>
    <w:rsid w:val="72F94BAD"/>
    <w:rsid w:val="73203BDB"/>
    <w:rsid w:val="73301AE1"/>
    <w:rsid w:val="73577DDB"/>
    <w:rsid w:val="735B2617"/>
    <w:rsid w:val="73693EA2"/>
    <w:rsid w:val="736C5F5D"/>
    <w:rsid w:val="73AA21EB"/>
    <w:rsid w:val="73B77F04"/>
    <w:rsid w:val="73BC6FBC"/>
    <w:rsid w:val="73D40106"/>
    <w:rsid w:val="73D8072B"/>
    <w:rsid w:val="73E01954"/>
    <w:rsid w:val="73F579F7"/>
    <w:rsid w:val="74065010"/>
    <w:rsid w:val="74090274"/>
    <w:rsid w:val="7417576C"/>
    <w:rsid w:val="741D247B"/>
    <w:rsid w:val="74244350"/>
    <w:rsid w:val="74310A7E"/>
    <w:rsid w:val="74391764"/>
    <w:rsid w:val="74470A4E"/>
    <w:rsid w:val="74652B22"/>
    <w:rsid w:val="74696DC2"/>
    <w:rsid w:val="747A3CC4"/>
    <w:rsid w:val="7482533E"/>
    <w:rsid w:val="74980627"/>
    <w:rsid w:val="74997961"/>
    <w:rsid w:val="749B50A4"/>
    <w:rsid w:val="74BB1DC1"/>
    <w:rsid w:val="74C83AAD"/>
    <w:rsid w:val="74CB2D70"/>
    <w:rsid w:val="74EB0F91"/>
    <w:rsid w:val="74F76C4F"/>
    <w:rsid w:val="75036B26"/>
    <w:rsid w:val="7527591C"/>
    <w:rsid w:val="75473880"/>
    <w:rsid w:val="75617D5A"/>
    <w:rsid w:val="7599657A"/>
    <w:rsid w:val="75A47795"/>
    <w:rsid w:val="75BB1AD4"/>
    <w:rsid w:val="75BD18FC"/>
    <w:rsid w:val="75CC3E08"/>
    <w:rsid w:val="75D24225"/>
    <w:rsid w:val="75EE0242"/>
    <w:rsid w:val="75F801BC"/>
    <w:rsid w:val="76186119"/>
    <w:rsid w:val="762F1125"/>
    <w:rsid w:val="76603301"/>
    <w:rsid w:val="766251DD"/>
    <w:rsid w:val="76740F1E"/>
    <w:rsid w:val="767439D0"/>
    <w:rsid w:val="768C7E47"/>
    <w:rsid w:val="76994A7B"/>
    <w:rsid w:val="76E70438"/>
    <w:rsid w:val="76E7459E"/>
    <w:rsid w:val="76EF4737"/>
    <w:rsid w:val="77177990"/>
    <w:rsid w:val="772B62DB"/>
    <w:rsid w:val="77364A72"/>
    <w:rsid w:val="7737099C"/>
    <w:rsid w:val="774425D0"/>
    <w:rsid w:val="775206BE"/>
    <w:rsid w:val="77585924"/>
    <w:rsid w:val="777C26B4"/>
    <w:rsid w:val="777D5E53"/>
    <w:rsid w:val="77911862"/>
    <w:rsid w:val="77A94803"/>
    <w:rsid w:val="77B12582"/>
    <w:rsid w:val="77B449D2"/>
    <w:rsid w:val="77BA1699"/>
    <w:rsid w:val="77BA32D3"/>
    <w:rsid w:val="77DF061C"/>
    <w:rsid w:val="77E951DA"/>
    <w:rsid w:val="780F17E0"/>
    <w:rsid w:val="78151B38"/>
    <w:rsid w:val="78154684"/>
    <w:rsid w:val="782B07D3"/>
    <w:rsid w:val="782D52CC"/>
    <w:rsid w:val="78306B6C"/>
    <w:rsid w:val="78340398"/>
    <w:rsid w:val="784309E5"/>
    <w:rsid w:val="7844338D"/>
    <w:rsid w:val="7855240C"/>
    <w:rsid w:val="78836654"/>
    <w:rsid w:val="788D0113"/>
    <w:rsid w:val="78A93C2D"/>
    <w:rsid w:val="78B03770"/>
    <w:rsid w:val="78BA658F"/>
    <w:rsid w:val="78BE0FF9"/>
    <w:rsid w:val="78DA7811"/>
    <w:rsid w:val="78E674C1"/>
    <w:rsid w:val="78F20B6E"/>
    <w:rsid w:val="7937496A"/>
    <w:rsid w:val="794725B4"/>
    <w:rsid w:val="798175E5"/>
    <w:rsid w:val="798A4C08"/>
    <w:rsid w:val="7991182E"/>
    <w:rsid w:val="79A612B2"/>
    <w:rsid w:val="79D92139"/>
    <w:rsid w:val="79D96905"/>
    <w:rsid w:val="79DC647D"/>
    <w:rsid w:val="79DE66DA"/>
    <w:rsid w:val="79E50F9E"/>
    <w:rsid w:val="7A09557F"/>
    <w:rsid w:val="7A1C4DFB"/>
    <w:rsid w:val="7A4A2ADD"/>
    <w:rsid w:val="7A5073FE"/>
    <w:rsid w:val="7A5B2271"/>
    <w:rsid w:val="7A61783D"/>
    <w:rsid w:val="7A656080"/>
    <w:rsid w:val="7A6E0552"/>
    <w:rsid w:val="7A750452"/>
    <w:rsid w:val="7A85352B"/>
    <w:rsid w:val="7AA30883"/>
    <w:rsid w:val="7AB34C51"/>
    <w:rsid w:val="7AC246E4"/>
    <w:rsid w:val="7ACB061B"/>
    <w:rsid w:val="7AEA6821"/>
    <w:rsid w:val="7B14332E"/>
    <w:rsid w:val="7B15736E"/>
    <w:rsid w:val="7B1703D1"/>
    <w:rsid w:val="7B221A76"/>
    <w:rsid w:val="7B4A57C5"/>
    <w:rsid w:val="7B7A59E8"/>
    <w:rsid w:val="7B834DE1"/>
    <w:rsid w:val="7B904A73"/>
    <w:rsid w:val="7B9B3B06"/>
    <w:rsid w:val="7BA0297D"/>
    <w:rsid w:val="7BBD500D"/>
    <w:rsid w:val="7C1003A0"/>
    <w:rsid w:val="7C17107C"/>
    <w:rsid w:val="7C2F0B3A"/>
    <w:rsid w:val="7C6739C4"/>
    <w:rsid w:val="7C71755F"/>
    <w:rsid w:val="7C9712F4"/>
    <w:rsid w:val="7CA11A08"/>
    <w:rsid w:val="7CC108CB"/>
    <w:rsid w:val="7CCB11CE"/>
    <w:rsid w:val="7CE0054D"/>
    <w:rsid w:val="7CEB3E33"/>
    <w:rsid w:val="7CFB4465"/>
    <w:rsid w:val="7D0B0D5D"/>
    <w:rsid w:val="7D1B37C6"/>
    <w:rsid w:val="7D396B9C"/>
    <w:rsid w:val="7D3B01CC"/>
    <w:rsid w:val="7D401718"/>
    <w:rsid w:val="7D4452AD"/>
    <w:rsid w:val="7D492120"/>
    <w:rsid w:val="7D4E7F25"/>
    <w:rsid w:val="7D5516F3"/>
    <w:rsid w:val="7D566CF4"/>
    <w:rsid w:val="7D6B47C6"/>
    <w:rsid w:val="7D6E1E08"/>
    <w:rsid w:val="7D7E64EC"/>
    <w:rsid w:val="7D812E66"/>
    <w:rsid w:val="7D9608B1"/>
    <w:rsid w:val="7D97175F"/>
    <w:rsid w:val="7D9A38A3"/>
    <w:rsid w:val="7DE22C39"/>
    <w:rsid w:val="7DE466EA"/>
    <w:rsid w:val="7DED01FF"/>
    <w:rsid w:val="7E0537EB"/>
    <w:rsid w:val="7E0E76D0"/>
    <w:rsid w:val="7E1B3C19"/>
    <w:rsid w:val="7E307C52"/>
    <w:rsid w:val="7E643B35"/>
    <w:rsid w:val="7E6B2F5B"/>
    <w:rsid w:val="7E6B4A29"/>
    <w:rsid w:val="7E6E2528"/>
    <w:rsid w:val="7E74494B"/>
    <w:rsid w:val="7E7E3951"/>
    <w:rsid w:val="7E891A65"/>
    <w:rsid w:val="7E904581"/>
    <w:rsid w:val="7E9A416D"/>
    <w:rsid w:val="7EA16B20"/>
    <w:rsid w:val="7EA57A42"/>
    <w:rsid w:val="7EAB7E6A"/>
    <w:rsid w:val="7EB83868"/>
    <w:rsid w:val="7EC56809"/>
    <w:rsid w:val="7EEE2E35"/>
    <w:rsid w:val="7F00499B"/>
    <w:rsid w:val="7F1047FB"/>
    <w:rsid w:val="7F1135E0"/>
    <w:rsid w:val="7F2337C4"/>
    <w:rsid w:val="7F2465D5"/>
    <w:rsid w:val="7F28386C"/>
    <w:rsid w:val="7F3148FE"/>
    <w:rsid w:val="7F385DFF"/>
    <w:rsid w:val="7F3A337D"/>
    <w:rsid w:val="7F6C5891"/>
    <w:rsid w:val="7F72181F"/>
    <w:rsid w:val="7F775B8B"/>
    <w:rsid w:val="7F9267BD"/>
    <w:rsid w:val="7FC3659F"/>
    <w:rsid w:val="7FE22705"/>
    <w:rsid w:val="7FF5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仿宋_GB2312" w:eastAsia="仿宋_GB2312" w:hAnsiTheme="minorHAnsi" w:cstheme="minorBidi"/>
      <w:kern w:val="2"/>
      <w:sz w:val="28"/>
      <w:szCs w:val="24"/>
      <w:lang w:val="en-US" w:eastAsia="zh-CN" w:bidi="ar-SA"/>
    </w:rPr>
  </w:style>
  <w:style w:type="paragraph" w:styleId="4">
    <w:name w:val="heading 1"/>
    <w:basedOn w:val="1"/>
    <w:next w:val="1"/>
    <w:link w:val="28"/>
    <w:qFormat/>
    <w:uiPriority w:val="0"/>
    <w:pPr>
      <w:ind w:firstLine="200"/>
      <w:outlineLvl w:val="0"/>
    </w:pPr>
    <w:rPr>
      <w:rFonts w:eastAsia="黑体"/>
      <w:bCs/>
      <w:kern w:val="44"/>
      <w:szCs w:val="44"/>
    </w:rPr>
  </w:style>
  <w:style w:type="paragraph" w:styleId="5">
    <w:name w:val="heading 2"/>
    <w:basedOn w:val="1"/>
    <w:next w:val="1"/>
    <w:unhideWhenUsed/>
    <w:qFormat/>
    <w:uiPriority w:val="0"/>
    <w:pPr>
      <w:ind w:firstLine="200"/>
      <w:outlineLvl w:val="1"/>
    </w:pPr>
    <w:rPr>
      <w:rFonts w:ascii="Arial" w:hAnsi="Arial" w:eastAsia="楷体_GB2312"/>
    </w:rPr>
  </w:style>
  <w:style w:type="paragraph" w:styleId="6">
    <w:name w:val="heading 3"/>
    <w:basedOn w:val="1"/>
    <w:next w:val="1"/>
    <w:unhideWhenUsed/>
    <w:qFormat/>
    <w:uiPriority w:val="0"/>
    <w:pPr>
      <w:ind w:firstLine="200"/>
      <w:outlineLvl w:val="2"/>
    </w:pPr>
    <w:rPr>
      <w:b/>
      <w:bCs/>
      <w:szCs w:val="32"/>
    </w:rPr>
  </w:style>
  <w:style w:type="paragraph" w:styleId="7">
    <w:name w:val="heading 4"/>
    <w:basedOn w:val="1"/>
    <w:next w:val="1"/>
    <w:unhideWhenUsed/>
    <w:qFormat/>
    <w:uiPriority w:val="0"/>
    <w:pPr>
      <w:ind w:firstLine="0" w:firstLineChars="0"/>
      <w:jc w:val="center"/>
      <w:outlineLvl w:val="3"/>
    </w:pPr>
    <w:rPr>
      <w:rFonts w:ascii="宋体" w:hAnsi="宋体" w:eastAsia="宋体" w:cstheme="majorBidi"/>
      <w:bCs/>
      <w:szCs w:val="28"/>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before="120"/>
    </w:pPr>
  </w:style>
  <w:style w:type="paragraph" w:styleId="3">
    <w:name w:val="Plain Text"/>
    <w:basedOn w:val="1"/>
    <w:qFormat/>
    <w:uiPriority w:val="0"/>
    <w:rPr>
      <w:rFonts w:ascii="宋体" w:hAnsi="Courier New"/>
      <w:szCs w:val="20"/>
    </w:rPr>
  </w:style>
  <w:style w:type="paragraph" w:styleId="8">
    <w:name w:val="Body Text Indent"/>
    <w:basedOn w:val="1"/>
    <w:qFormat/>
    <w:uiPriority w:val="0"/>
    <w:pPr>
      <w:spacing w:after="120"/>
      <w:ind w:left="420" w:leftChars="200"/>
    </w:pPr>
  </w:style>
  <w:style w:type="paragraph" w:styleId="9">
    <w:name w:val="Body Text Indent 2"/>
    <w:basedOn w:val="1"/>
    <w:semiHidden/>
    <w:unhideWhenUsed/>
    <w:qFormat/>
    <w:uiPriority w:val="99"/>
    <w:pPr>
      <w:spacing w:after="120" w:line="480" w:lineRule="auto"/>
      <w:ind w:left="420" w:leftChars="200"/>
    </w:pPr>
  </w:style>
  <w:style w:type="paragraph" w:styleId="10">
    <w:name w:val="footer"/>
    <w:basedOn w:val="1"/>
    <w:link w:val="30"/>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Body Text First Indent 2"/>
    <w:basedOn w:val="8"/>
    <w:qFormat/>
    <w:uiPriority w:val="0"/>
    <w:pPr>
      <w:ind w:firstLine="420"/>
    </w:pPr>
  </w:style>
  <w:style w:type="table" w:styleId="17">
    <w:name w:val="Table Grid"/>
    <w:basedOn w:val="1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FollowedHyperlink"/>
    <w:basedOn w:val="18"/>
    <w:qFormat/>
    <w:uiPriority w:val="0"/>
    <w:rPr>
      <w:color w:val="333333"/>
      <w:u w:val="none"/>
    </w:rPr>
  </w:style>
  <w:style w:type="character" w:customStyle="1" w:styleId="20">
    <w:name w:val="font31"/>
    <w:basedOn w:val="18"/>
    <w:qFormat/>
    <w:uiPriority w:val="0"/>
    <w:rPr>
      <w:rFonts w:hint="eastAsia" w:ascii="宋体" w:hAnsi="宋体" w:eastAsia="宋体" w:cs="宋体"/>
      <w:color w:val="000000"/>
      <w:sz w:val="18"/>
      <w:szCs w:val="18"/>
      <w:u w:val="none"/>
      <w:vertAlign w:val="superscript"/>
    </w:rPr>
  </w:style>
  <w:style w:type="character" w:customStyle="1" w:styleId="21">
    <w:name w:val="font11"/>
    <w:basedOn w:val="18"/>
    <w:qFormat/>
    <w:uiPriority w:val="0"/>
    <w:rPr>
      <w:rFonts w:hint="eastAsia" w:ascii="宋体" w:hAnsi="宋体" w:eastAsia="宋体" w:cs="宋体"/>
      <w:color w:val="000000"/>
      <w:sz w:val="18"/>
      <w:szCs w:val="18"/>
      <w:u w:val="none"/>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4">
    <w:name w:val="正文1"/>
    <w:basedOn w:val="1"/>
    <w:qFormat/>
    <w:uiPriority w:val="0"/>
    <w:pPr>
      <w:autoSpaceDE w:val="0"/>
      <w:autoSpaceDN w:val="0"/>
      <w:spacing w:line="240" w:lineRule="auto"/>
      <w:ind w:firstLine="723"/>
      <w:jc w:val="left"/>
    </w:pPr>
    <w:rPr>
      <w:rFonts w:ascii="Times New Roman" w:hAnsi="Times New Roman" w:eastAsia="仿宋" w:cs="Times New Roman"/>
      <w:kern w:val="0"/>
      <w:szCs w:val="22"/>
      <w:lang w:val="zh-CN" w:bidi="zh-CN"/>
    </w:rPr>
  </w:style>
  <w:style w:type="paragraph" w:styleId="25">
    <w:name w:val="List Paragraph"/>
    <w:basedOn w:val="1"/>
    <w:qFormat/>
    <w:uiPriority w:val="34"/>
    <w:pPr>
      <w:ind w:firstLine="420"/>
    </w:pPr>
  </w:style>
  <w:style w:type="paragraph" w:customStyle="1" w:styleId="26">
    <w:name w:val="绩效评价正文"/>
    <w:basedOn w:val="1"/>
    <w:qFormat/>
    <w:uiPriority w:val="0"/>
    <w:pPr>
      <w:overflowPunct w:val="0"/>
      <w:ind w:firstLine="640"/>
    </w:pPr>
    <w:rPr>
      <w:rFonts w:hAnsi="仿宋_GB2312" w:cs="Times New Roman"/>
      <w:szCs w:val="32"/>
    </w:rPr>
  </w:style>
  <w:style w:type="paragraph" w:customStyle="1" w:styleId="27">
    <w:name w:val="闻政正文"/>
    <w:basedOn w:val="1"/>
    <w:next w:val="1"/>
    <w:qFormat/>
    <w:uiPriority w:val="0"/>
    <w:pPr>
      <w:overflowPunct w:val="0"/>
      <w:spacing w:line="500" w:lineRule="exact"/>
    </w:pPr>
    <w:rPr>
      <w:rFonts w:ascii="Times New Roman" w:hAnsi="Times New Roman" w:cs="Times New Roman"/>
      <w:kern w:val="0"/>
      <w:szCs w:val="28"/>
    </w:rPr>
  </w:style>
  <w:style w:type="character" w:customStyle="1" w:styleId="28">
    <w:name w:val="标题 1 字符"/>
    <w:link w:val="4"/>
    <w:qFormat/>
    <w:uiPriority w:val="0"/>
    <w:rPr>
      <w:rFonts w:eastAsia="黑体"/>
      <w:bCs/>
      <w:kern w:val="44"/>
      <w:szCs w:val="44"/>
    </w:rPr>
  </w:style>
  <w:style w:type="table" w:customStyle="1" w:styleId="29">
    <w:name w:val="Table Normal"/>
    <w:semiHidden/>
    <w:unhideWhenUsed/>
    <w:qFormat/>
    <w:uiPriority w:val="0"/>
    <w:tblPr>
      <w:tblCellMar>
        <w:top w:w="0" w:type="dxa"/>
        <w:left w:w="0" w:type="dxa"/>
        <w:bottom w:w="0" w:type="dxa"/>
        <w:right w:w="0" w:type="dxa"/>
      </w:tblCellMar>
    </w:tblPr>
  </w:style>
  <w:style w:type="character" w:customStyle="1" w:styleId="30">
    <w:name w:val="页脚 字符"/>
    <w:basedOn w:val="18"/>
    <w:link w:val="10"/>
    <w:qFormat/>
    <w:uiPriority w:val="99"/>
    <w:rPr>
      <w:rFonts w:ascii="仿宋_GB2312" w:eastAsia="仿宋_GB2312" w:hAnsiTheme="minorHAnsi"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7077</Words>
  <Characters>7500</Characters>
  <Lines>54</Lines>
  <Paragraphs>15</Paragraphs>
  <TotalTime>9</TotalTime>
  <ScaleCrop>false</ScaleCrop>
  <LinksUpToDate>false</LinksUpToDate>
  <CharactersWithSpaces>7524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2022-09-13T11:01:00Z</dcterms:created>
  <dc:creator>跟空气撒个娇</dc:creator>
  <cp:lastModifiedBy>随意@_@</cp:lastModifiedBy>
  <cp:lastPrinted>2022-02-26T01:23:00Z</cp:lastPrinted>
  <dcterms:modified xsi:type="dcterms:W3CDTF">2022-09-13T12:10:14Z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05E89746599B41EE9ACC042FBAE5E96B</vt:lpwstr>
  </property>
</Properties>
</file>