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jc w:val="center"/>
        <w:rPr>
          <w:rFonts w:ascii="方正小标宋简体" w:hAnsi="方正小标宋简体" w:eastAsia="方正小标宋简体" w:cs="方正小标宋简体"/>
          <w:color w:val="000000"/>
          <w:sz w:val="36"/>
          <w:szCs w:val="36"/>
        </w:rPr>
      </w:pPr>
    </w:p>
    <w:p>
      <w:pPr>
        <w:pStyle w:val="14"/>
        <w:widowControl/>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宁武县化北屯乡2020年统筹整合</w:t>
      </w:r>
    </w:p>
    <w:p>
      <w:pPr>
        <w:pStyle w:val="14"/>
        <w:widowControl/>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资金绩效评价报告</w:t>
      </w:r>
    </w:p>
    <w:p>
      <w:pPr>
        <w:pStyle w:val="14"/>
        <w:widowControl/>
        <w:jc w:val="center"/>
        <w:rPr>
          <w:rFonts w:ascii="方正小标宋简体" w:hAnsi="方正小标宋简体" w:eastAsia="方正小标宋简体" w:cs="方正小标宋简体"/>
          <w:color w:val="000000"/>
          <w:sz w:val="36"/>
          <w:szCs w:val="36"/>
        </w:rPr>
      </w:pPr>
    </w:p>
    <w:p>
      <w:pPr>
        <w:pStyle w:val="14"/>
        <w:widowControl/>
        <w:jc w:val="center"/>
        <w:rPr>
          <w:rFonts w:ascii="方正小标宋简体" w:hAnsi="方正小标宋简体" w:eastAsia="方正小标宋简体" w:cs="方正小标宋简体"/>
          <w:color w:val="000000"/>
          <w:sz w:val="36"/>
          <w:szCs w:val="36"/>
        </w:rPr>
      </w:pPr>
    </w:p>
    <w:p>
      <w:pPr>
        <w:pStyle w:val="14"/>
        <w:widowControl/>
        <w:jc w:val="center"/>
        <w:rPr>
          <w:rFonts w:ascii="方正小标宋简体" w:hAnsi="方正小标宋简体" w:eastAsia="方正小标宋简体" w:cs="方正小标宋简体"/>
          <w:color w:val="000000"/>
          <w:sz w:val="36"/>
          <w:szCs w:val="36"/>
        </w:rPr>
      </w:pPr>
    </w:p>
    <w:p>
      <w:pPr>
        <w:pStyle w:val="14"/>
        <w:widowControl/>
        <w:tabs>
          <w:tab w:val="left" w:pos="2001"/>
        </w:tabs>
        <w:rPr>
          <w:rFonts w:ascii="方正小标宋简体" w:hAnsi="方正小标宋简体" w:eastAsia="方正小标宋简体" w:cs="方正小标宋简体"/>
          <w:color w:val="000000"/>
          <w:sz w:val="28"/>
          <w:szCs w:val="28"/>
        </w:rPr>
      </w:pPr>
    </w:p>
    <w:p>
      <w:pPr>
        <w:pStyle w:val="14"/>
        <w:widowControl/>
        <w:jc w:val="center"/>
        <w:rPr>
          <w:rFonts w:ascii="方正小标宋简体" w:hAnsi="方正小标宋简体" w:eastAsia="方正小标宋简体" w:cs="方正小标宋简体"/>
          <w:color w:val="000000"/>
          <w:sz w:val="36"/>
          <w:szCs w:val="36"/>
        </w:rPr>
      </w:pPr>
    </w:p>
    <w:p>
      <w:pPr>
        <w:pStyle w:val="14"/>
        <w:widowControl/>
        <w:spacing w:beforeAutospacing="0" w:afterAutospacing="0" w:line="360" w:lineRule="auto"/>
        <w:ind w:firstLine="1280" w:firstLineChars="400"/>
        <w:jc w:val="both"/>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单位名称：宁武县化北屯乡</w:t>
      </w:r>
      <w:r>
        <w:rPr>
          <w:rFonts w:hint="eastAsia" w:ascii="黑体" w:hAnsi="黑体" w:eastAsia="黑体" w:cs="黑体"/>
          <w:color w:val="000000"/>
          <w:sz w:val="32"/>
          <w:szCs w:val="32"/>
          <w:lang w:val="en-US" w:eastAsia="zh-CN"/>
        </w:rPr>
        <w:t>人民政府</w:t>
      </w:r>
    </w:p>
    <w:p>
      <w:pPr>
        <w:pStyle w:val="14"/>
        <w:widowControl/>
        <w:spacing w:beforeAutospacing="0" w:afterAutospacing="0" w:line="360" w:lineRule="auto"/>
        <w:ind w:firstLine="1280" w:firstLineChars="400"/>
        <w:jc w:val="both"/>
        <w:rPr>
          <w:rFonts w:ascii="黑体" w:hAnsi="黑体" w:eastAsia="黑体" w:cs="黑体"/>
          <w:color w:val="000000"/>
          <w:sz w:val="32"/>
          <w:szCs w:val="32"/>
        </w:rPr>
      </w:pPr>
      <w:r>
        <w:rPr>
          <w:rFonts w:hint="eastAsia" w:ascii="黑体" w:hAnsi="黑体" w:eastAsia="黑体" w:cs="黑体"/>
          <w:color w:val="000000"/>
          <w:sz w:val="32"/>
          <w:szCs w:val="32"/>
        </w:rPr>
        <w:t>委托单位：宁武县财政局</w:t>
      </w:r>
    </w:p>
    <w:p>
      <w:pPr>
        <w:pStyle w:val="14"/>
        <w:widowControl/>
        <w:spacing w:beforeAutospacing="0" w:afterAutospacing="0" w:line="360" w:lineRule="auto"/>
        <w:ind w:firstLine="1280" w:firstLineChars="400"/>
        <w:jc w:val="both"/>
        <w:rPr>
          <w:rFonts w:ascii="黑体" w:hAnsi="黑体" w:eastAsia="黑体" w:cs="黑体"/>
          <w:color w:val="000000"/>
          <w:sz w:val="32"/>
          <w:szCs w:val="32"/>
        </w:rPr>
      </w:pPr>
      <w:r>
        <w:rPr>
          <w:rFonts w:hint="eastAsia" w:ascii="黑体" w:hAnsi="黑体" w:eastAsia="黑体" w:cs="黑体"/>
          <w:color w:val="000000"/>
          <w:sz w:val="32"/>
          <w:szCs w:val="32"/>
        </w:rPr>
        <w:t>评价机构：山西亚泰会计师事务所有限公司</w:t>
      </w:r>
    </w:p>
    <w:p>
      <w:pPr>
        <w:pStyle w:val="14"/>
        <w:widowControl/>
        <w:spacing w:beforeAutospacing="0" w:afterAutospacing="0" w:line="360" w:lineRule="auto"/>
        <w:ind w:firstLine="1120" w:firstLineChars="400"/>
        <w:jc w:val="both"/>
        <w:rPr>
          <w:rFonts w:hint="eastAsia" w:ascii="黑体" w:hAnsi="黑体" w:eastAsia="黑体" w:cs="黑体"/>
          <w:color w:val="000000"/>
          <w:sz w:val="28"/>
          <w:szCs w:val="28"/>
        </w:rPr>
      </w:pPr>
    </w:p>
    <w:p>
      <w:pPr>
        <w:adjustRightInd w:val="0"/>
        <w:snapToGrid w:val="0"/>
        <w:spacing w:before="156" w:beforeLines="50"/>
        <w:jc w:val="center"/>
        <w:rPr>
          <w:rFonts w:ascii="黑体" w:hAnsi="黑体" w:eastAsia="黑体" w:cs="黑体"/>
          <w:color w:val="000000"/>
          <w:sz w:val="32"/>
          <w:szCs w:val="32"/>
        </w:rPr>
      </w:pPr>
      <w:r>
        <w:rPr>
          <w:rFonts w:hint="eastAsia" w:ascii="黑体" w:hAnsi="黑体" w:eastAsia="黑体" w:cs="黑体"/>
          <w:color w:val="000000"/>
          <w:sz w:val="32"/>
          <w:szCs w:val="32"/>
        </w:rPr>
        <w:t>二〇二一年十月</w:t>
      </w:r>
    </w:p>
    <w:p>
      <w:pPr>
        <w:pStyle w:val="2"/>
        <w:rPr>
          <w:sz w:val="28"/>
          <w:szCs w:val="24"/>
        </w:rPr>
      </w:pPr>
    </w:p>
    <w:p>
      <w:pPr>
        <w:pStyle w:val="3"/>
        <w:rPr>
          <w:rFonts w:hint="eastAsia"/>
          <w:sz w:val="28"/>
          <w:szCs w:val="24"/>
        </w:rPr>
      </w:pPr>
    </w:p>
    <w:p>
      <w:pPr>
        <w:jc w:val="center"/>
        <w:rPr>
          <w:rFonts w:ascii="方正小标宋简体" w:hAnsi="方正小标宋简体" w:eastAsia="方正小标宋简体" w:cs="方正小标宋简体"/>
          <w:color w:val="000000"/>
          <w:sz w:val="36"/>
          <w:szCs w:val="36"/>
        </w:rPr>
        <w:sectPr>
          <w:headerReference r:id="rId3" w:type="default"/>
          <w:footerReference r:id="rId4" w:type="default"/>
          <w:type w:val="continuous"/>
          <w:pgSz w:w="11906" w:h="16838"/>
          <w:pgMar w:top="2041" w:right="1417" w:bottom="1417" w:left="1531" w:header="851" w:footer="850" w:gutter="0"/>
          <w:pgNumType w:start="1"/>
          <w:cols w:space="425" w:num="1"/>
          <w:titlePg/>
          <w:docGrid w:type="lines" w:linePitch="312" w:charSpace="0"/>
        </w:sectPr>
      </w:pPr>
    </w:p>
    <w:p>
      <w:pPr>
        <w:pStyle w:val="14"/>
        <w:widowControl/>
        <w:spacing w:before="159" w:beforeLines="50" w:beforeAutospacing="0" w:after="159" w:afterLines="50" w:afterAutospacing="0"/>
        <w:jc w:val="center"/>
        <w:outlineLvl w:val="0"/>
        <w:rPr>
          <w:rFonts w:ascii="方正小标宋简体" w:hAnsi="方正小标宋简体" w:eastAsia="方正小标宋简体" w:cs="方正小标宋简体"/>
          <w:color w:val="000000"/>
          <w:sz w:val="36"/>
          <w:szCs w:val="32"/>
        </w:rPr>
      </w:pPr>
      <w:bookmarkStart w:id="0" w:name="_Toc13003"/>
      <w:bookmarkStart w:id="1" w:name="_Toc20044"/>
      <w:bookmarkStart w:id="2" w:name="_Toc11188"/>
      <w:r>
        <w:rPr>
          <w:rFonts w:hint="eastAsia" w:ascii="方正小标宋简体" w:hAnsi="方正小标宋简体" w:eastAsia="方正小标宋简体" w:cs="方正小标宋简体"/>
          <w:color w:val="000000"/>
          <w:sz w:val="36"/>
          <w:szCs w:val="32"/>
        </w:rPr>
        <w:t>宁武县化北屯乡2020年统筹整合资金</w:t>
      </w:r>
      <w:bookmarkEnd w:id="0"/>
    </w:p>
    <w:p>
      <w:pPr>
        <w:pStyle w:val="14"/>
        <w:widowControl/>
        <w:spacing w:before="159" w:beforeLines="50" w:beforeAutospacing="0" w:after="159" w:afterLines="50" w:afterAutospacing="0"/>
        <w:jc w:val="center"/>
        <w:outlineLvl w:val="0"/>
        <w:rPr>
          <w:rFonts w:ascii="方正小标宋简体" w:hAnsi="方正小标宋简体" w:eastAsia="方正小标宋简体" w:cs="方正小标宋简体"/>
          <w:color w:val="000000"/>
          <w:sz w:val="36"/>
          <w:szCs w:val="32"/>
        </w:rPr>
      </w:pPr>
      <w:bookmarkStart w:id="3" w:name="_Toc28877"/>
      <w:r>
        <w:rPr>
          <w:rFonts w:hint="eastAsia" w:ascii="方正小标宋简体" w:hAnsi="方正小标宋简体" w:eastAsia="方正小标宋简体" w:cs="方正小标宋简体"/>
          <w:color w:val="000000"/>
          <w:sz w:val="36"/>
          <w:szCs w:val="32"/>
        </w:rPr>
        <w:t>绩效评价报告</w:t>
      </w:r>
      <w:bookmarkEnd w:id="1"/>
      <w:bookmarkEnd w:id="2"/>
      <w:bookmarkEnd w:id="3"/>
    </w:p>
    <w:p>
      <w:pPr>
        <w:pStyle w:val="1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ascii="仿宋_GB2312" w:hAnsi="仿宋_GB2312" w:eastAsia="仿宋_GB2312" w:cs="仿宋_GB2312"/>
          <w:color w:val="000000"/>
          <w:sz w:val="28"/>
          <w:szCs w:val="27"/>
        </w:rPr>
      </w:pPr>
      <w:bookmarkStart w:id="4" w:name="_Toc18074"/>
      <w:bookmarkStart w:id="5" w:name="_Toc13435"/>
      <w:r>
        <w:rPr>
          <w:rFonts w:hint="eastAsia" w:ascii="仿宋_GB2312" w:hAnsi="仿宋_GB2312" w:eastAsia="仿宋_GB2312" w:cs="仿宋_GB2312"/>
          <w:color w:val="000000"/>
          <w:sz w:val="28"/>
          <w:szCs w:val="27"/>
        </w:rPr>
        <w:t>为深入贯彻落实《中共山西省委 山西省人民政府关于全面实施预算绩效管理的实施意见》（晋发〔2018〕39号）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宁武县化北屯乡2020年统筹整合资金进行了绩效评价，现将此次绩效评价情况报告如下。</w:t>
      </w:r>
      <w:bookmarkEnd w:id="4"/>
      <w:bookmarkEnd w:id="5"/>
    </w:p>
    <w:p>
      <w:pPr>
        <w:pStyle w:val="14"/>
        <w:widowControl/>
        <w:adjustRightInd w:val="0"/>
        <w:snapToGrid w:val="0"/>
        <w:spacing w:beforeAutospacing="0" w:afterAutospacing="0" w:line="360" w:lineRule="auto"/>
        <w:ind w:firstLine="560" w:firstLineChars="200"/>
        <w:outlineLvl w:val="0"/>
        <w:rPr>
          <w:rFonts w:ascii="黑体" w:hAnsi="黑体" w:eastAsia="黑体" w:cs="黑体"/>
          <w:color w:val="000000"/>
          <w:sz w:val="28"/>
          <w:szCs w:val="28"/>
        </w:rPr>
      </w:pPr>
      <w:bookmarkStart w:id="6" w:name="_Toc3143"/>
      <w:bookmarkStart w:id="7" w:name="_Toc26162"/>
      <w:r>
        <w:rPr>
          <w:rFonts w:hint="eastAsia" w:ascii="黑体" w:hAnsi="黑体" w:eastAsia="黑体" w:cs="黑体"/>
          <w:color w:val="000000"/>
          <w:sz w:val="28"/>
          <w:szCs w:val="28"/>
        </w:rPr>
        <w:t>一、基本情况</w:t>
      </w:r>
      <w:bookmarkEnd w:id="6"/>
      <w:bookmarkEnd w:id="7"/>
    </w:p>
    <w:p>
      <w:pPr>
        <w:pStyle w:val="14"/>
        <w:widowControl/>
        <w:adjustRightInd w:val="0"/>
        <w:snapToGrid w:val="0"/>
        <w:spacing w:beforeAutospacing="0" w:afterAutospacing="0" w:line="360" w:lineRule="auto"/>
        <w:ind w:firstLine="560" w:firstLineChars="200"/>
        <w:outlineLvl w:val="2"/>
        <w:rPr>
          <w:rFonts w:ascii="楷体_GB2312" w:eastAsia="楷体_GB2312" w:hAnsiTheme="majorHAnsi" w:cstheme="majorBidi"/>
          <w:bCs/>
          <w:kern w:val="2"/>
          <w:sz w:val="28"/>
          <w:szCs w:val="32"/>
        </w:rPr>
      </w:pPr>
      <w:bookmarkStart w:id="8" w:name="_Toc64"/>
      <w:r>
        <w:rPr>
          <w:rFonts w:hint="eastAsia" w:ascii="楷体_GB2312" w:eastAsia="楷体_GB2312" w:hAnsiTheme="majorHAnsi" w:cstheme="majorBidi"/>
          <w:bCs/>
          <w:kern w:val="2"/>
          <w:sz w:val="28"/>
          <w:szCs w:val="32"/>
        </w:rPr>
        <w:t>（一）项目背景</w:t>
      </w:r>
      <w:bookmarkEnd w:id="8"/>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党的十九大关于打赢脱贫攻坚战总体部署，根据各地区各部门贯彻落实《中共中央、国务院关于打赢脱贫攻坚战的决定》（中发〔2015〕34号）的进展和实践中存在的突出问题，就完善顶层设计、强化政策措施、加强统筹协调、推动脱贫攻坚工作更加有效开展，于2018年制定《中共中央、国务院关于打赢脱贫攻坚三年行动的指导意见》（中发〔2018〕16号），结合山西省实际提出《中共山西省委 山西省人民政府 关于坚决打赢全省脱贫攻坚战三年行动的</w:t>
      </w:r>
      <w:bookmarkStart w:id="54" w:name="_GoBack"/>
      <w:bookmarkEnd w:id="54"/>
      <w:r>
        <w:rPr>
          <w:rFonts w:hint="eastAsia" w:ascii="仿宋_GB2312" w:hAnsi="仿宋_GB2312" w:eastAsia="仿宋_GB2312" w:cs="仿宋_GB2312"/>
          <w:sz w:val="28"/>
          <w:szCs w:val="28"/>
        </w:rPr>
        <w:t>实施意见》（晋发〔2018〕21号），从完善顶层设计、强化政策措施和加强统筹协调等方面，为山西省今后三年脱贫攻坚工作制定了“路线图”和“时间表”，是决战决胜今后三年脱贫攻坚战的纲领性文件。</w:t>
      </w:r>
    </w:p>
    <w:p>
      <w:pPr>
        <w:adjustRightInd w:val="0"/>
        <w:snapToGrid w:val="0"/>
        <w:spacing w:line="360" w:lineRule="auto"/>
        <w:ind w:firstLine="560"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sz w:val="28"/>
          <w:szCs w:val="28"/>
        </w:rPr>
        <w:t>深入贯彻落实山西省人民政府《关于推进涉农资金统筹整合的实施意见》（晋政发〔2018〕31号），山西省脱贫攻坚领导小组《关于进一步做好贫困县统筹整合使用财政资金实施精准扶贫工作的通知》（晋脱贫攻坚组〔2019〕9号）及忻州市人民政府《关于印发忻州市推进涉农资金统筹整合实施方案的通知》（忻政办发〔2018〕152号），创新体制机制，切实发挥涉农资金统筹整合作用，打赢全县脱贫攻坚战，根据脱贫攻坚需要，对年初方案中的项目资金预算安排进行调整，制定《宁武县2020年统筹整合使用财政资金开展脱贫攻坚调整实施方案》（宁脱贫攻坚部〔2020〕20号），宁武县化北屯乡2020年统筹整合财政资金19.4万元，用于生猪养殖场建设项目补助，其中6.46万元用于支付工程尾款，分别是平场地尾款、水泵尾款、打井尾款。剩余12.58万元，用于“三通一平”电流增补项目。</w:t>
      </w:r>
    </w:p>
    <w:p>
      <w:pPr>
        <w:pStyle w:val="14"/>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560" w:firstLineChars="200"/>
        <w:textAlignment w:val="auto"/>
        <w:outlineLvl w:val="2"/>
        <w:rPr>
          <w:rFonts w:ascii="楷体_GB2312" w:eastAsia="楷体_GB2312" w:hAnsiTheme="majorHAnsi" w:cstheme="majorBidi"/>
          <w:bCs/>
          <w:kern w:val="2"/>
          <w:sz w:val="28"/>
          <w:szCs w:val="32"/>
        </w:rPr>
      </w:pPr>
      <w:bookmarkStart w:id="9" w:name="_Toc30808"/>
      <w:r>
        <w:rPr>
          <w:rFonts w:hint="eastAsia" w:ascii="楷体_GB2312" w:eastAsia="楷体_GB2312" w:hAnsiTheme="majorHAnsi" w:cstheme="majorBidi"/>
          <w:bCs/>
          <w:kern w:val="2"/>
          <w:sz w:val="28"/>
          <w:szCs w:val="32"/>
        </w:rPr>
        <w:t>（二）主要内容及实施情况</w:t>
      </w:r>
      <w:bookmarkEnd w:id="9"/>
    </w:p>
    <w:p>
      <w:pPr>
        <w:pStyle w:val="14"/>
        <w:widowControl/>
        <w:adjustRightInd w:val="0"/>
        <w:snapToGrid w:val="0"/>
        <w:spacing w:beforeAutospacing="0" w:afterAutospacing="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宁武县化北屯乡生猪养殖场建设项目实施内容：养殖场平场地、购买水泵、打井尾款和“三通一平”电流增补项目，目前项目已全部完工。</w:t>
      </w:r>
    </w:p>
    <w:p>
      <w:pPr>
        <w:pStyle w:val="14"/>
        <w:widowControl/>
        <w:adjustRightInd w:val="0"/>
        <w:snapToGrid w:val="0"/>
        <w:spacing w:beforeAutospacing="0" w:afterAutospacing="0" w:line="360" w:lineRule="auto"/>
        <w:ind w:firstLine="560" w:firstLineChars="200"/>
        <w:outlineLvl w:val="1"/>
        <w:rPr>
          <w:rFonts w:ascii="仿宋_GB2312" w:hAnsi="仿宋_GB2312" w:eastAsia="仿宋_GB2312" w:cs="仿宋_GB2312"/>
          <w:b/>
          <w:bCs/>
          <w:color w:val="000000"/>
          <w:sz w:val="28"/>
          <w:szCs w:val="28"/>
        </w:rPr>
      </w:pPr>
      <w:bookmarkStart w:id="10" w:name="_Toc12884"/>
      <w:bookmarkStart w:id="11" w:name="_Toc19409"/>
      <w:r>
        <w:rPr>
          <w:rFonts w:hint="eastAsia" w:ascii="楷体_GB2312" w:hAnsi="楷体_GB2312" w:eastAsia="楷体_GB2312" w:cs="楷体_GB2312"/>
          <w:color w:val="000000"/>
          <w:sz w:val="28"/>
          <w:szCs w:val="28"/>
        </w:rPr>
        <w:t>（三）项目资金投入和使用情况</w:t>
      </w:r>
      <w:bookmarkEnd w:id="10"/>
      <w:bookmarkEnd w:id="11"/>
    </w:p>
    <w:p>
      <w:pPr>
        <w:adjustRightInd w:val="0"/>
        <w:snapToGrid w:val="0"/>
        <w:spacing w:line="360" w:lineRule="auto"/>
        <w:ind w:firstLine="562" w:firstLineChars="200"/>
        <w:outlineLvl w:val="2"/>
        <w:rPr>
          <w:rFonts w:ascii="仿宋_GB2312" w:hAnsi="仿宋_GB2312" w:eastAsia="仿宋_GB2312" w:cs="仿宋_GB2312"/>
          <w:sz w:val="28"/>
          <w:szCs w:val="36"/>
        </w:rPr>
      </w:pPr>
      <w:bookmarkStart w:id="12" w:name="_Toc10439"/>
      <w:r>
        <w:rPr>
          <w:rFonts w:hint="eastAsia" w:ascii="仿宋_GB2312" w:hAnsi="仿宋_GB2312" w:eastAsia="仿宋_GB2312" w:cs="仿宋_GB2312"/>
          <w:b/>
          <w:bCs/>
          <w:sz w:val="28"/>
          <w:szCs w:val="36"/>
        </w:rPr>
        <w:t>1.资金投入情况</w:t>
      </w:r>
      <w:bookmarkEnd w:id="12"/>
    </w:p>
    <w:p>
      <w:pPr>
        <w:adjustRightInd w:val="0"/>
        <w:snapToGrid w:val="0"/>
        <w:spacing w:line="360" w:lineRule="auto"/>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宁武县化北屯乡统筹整合资金19.04万元，共用于4个项目。具体各项目预算资金详见表1-1。</w:t>
      </w:r>
    </w:p>
    <w:p>
      <w:pPr>
        <w:adjustRightInd w:val="0"/>
        <w:snapToGrid w:val="0"/>
        <w:spacing w:line="360" w:lineRule="auto"/>
        <w:ind w:firstLine="562" w:firstLineChars="200"/>
        <w:outlineLvl w:val="2"/>
        <w:rPr>
          <w:rFonts w:ascii="仿宋_GB2312" w:hAnsi="仿宋_GB2312" w:eastAsia="仿宋_GB2312" w:cs="仿宋_GB2312"/>
          <w:sz w:val="28"/>
          <w:szCs w:val="36"/>
        </w:rPr>
      </w:pPr>
      <w:bookmarkStart w:id="13" w:name="_Toc6483"/>
      <w:r>
        <w:rPr>
          <w:rFonts w:hint="eastAsia" w:ascii="仿宋_GB2312" w:hAnsi="仿宋_GB2312" w:eastAsia="仿宋_GB2312" w:cs="仿宋_GB2312"/>
          <w:b/>
          <w:bCs/>
          <w:sz w:val="28"/>
          <w:szCs w:val="36"/>
        </w:rPr>
        <w:t>2.资金使用情况</w:t>
      </w:r>
      <w:bookmarkEnd w:id="13"/>
    </w:p>
    <w:p>
      <w:pPr>
        <w:adjustRightInd w:val="0"/>
        <w:snapToGrid w:val="0"/>
        <w:spacing w:line="360" w:lineRule="auto"/>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宁武县化北屯乡统筹整合资金19.04万元，截至2020年12月31日实际支出19.04万元。</w:t>
      </w:r>
      <w:r>
        <w:rPr>
          <w:rFonts w:hint="eastAsia" w:ascii="仿宋_GB2312" w:hAnsi="仿宋_GB2312" w:eastAsia="仿宋_GB2312" w:cs="仿宋_GB2312"/>
          <w:color w:val="000000"/>
          <w:sz w:val="28"/>
          <w:szCs w:val="36"/>
        </w:rPr>
        <w:t>具体各子项目资金使用情况</w:t>
      </w:r>
      <w:r>
        <w:rPr>
          <w:rFonts w:hint="eastAsia" w:ascii="仿宋_GB2312" w:hAnsi="仿宋_GB2312" w:eastAsia="仿宋_GB2312" w:cs="仿宋_GB2312"/>
          <w:sz w:val="28"/>
          <w:szCs w:val="36"/>
        </w:rPr>
        <w:t>详见表1-1。</w:t>
      </w:r>
    </w:p>
    <w:p>
      <w:pPr>
        <w:pStyle w:val="2"/>
        <w:keepNext w:val="0"/>
        <w:keepLines w:val="0"/>
        <w:pageBreakBefore w:val="0"/>
        <w:widowControl w:val="0"/>
        <w:kinsoku/>
        <w:wordWrap/>
        <w:overflowPunct/>
        <w:topLinePunct w:val="0"/>
        <w:autoSpaceDE/>
        <w:autoSpaceDN/>
        <w:bidi w:val="0"/>
        <w:adjustRightInd w:val="0"/>
        <w:snapToGrid w:val="0"/>
        <w:spacing w:before="0" w:line="240" w:lineRule="auto"/>
        <w:jc w:val="center"/>
        <w:textAlignment w:val="auto"/>
        <w:rPr>
          <w:rFonts w:ascii="宋体" w:hAnsi="宋体" w:cs="宋体"/>
          <w:lang w:bidi="ar"/>
        </w:rPr>
      </w:pPr>
      <w:r>
        <w:rPr>
          <w:rFonts w:hint="eastAsia" w:ascii="宋体" w:hAnsi="宋体" w:cs="宋体"/>
          <w:sz w:val="28"/>
          <w:szCs w:val="24"/>
          <w:lang w:bidi="ar"/>
        </w:rPr>
        <w:t>表1-1 宁武县</w:t>
      </w:r>
      <w:r>
        <w:rPr>
          <w:rFonts w:hint="eastAsia" w:ascii="宋体" w:hAnsi="宋体" w:cs="宋体"/>
          <w:sz w:val="28"/>
          <w:szCs w:val="24"/>
        </w:rPr>
        <w:t>化北屯乡</w:t>
      </w:r>
      <w:r>
        <w:rPr>
          <w:rFonts w:hint="eastAsia" w:ascii="宋体" w:hAnsi="宋体" w:cs="宋体"/>
          <w:sz w:val="28"/>
          <w:szCs w:val="24"/>
          <w:lang w:bidi="ar"/>
        </w:rPr>
        <w:t>统筹整合资金使用统计表</w:t>
      </w:r>
    </w:p>
    <w:p>
      <w:pPr>
        <w:pStyle w:val="2"/>
        <w:keepNext w:val="0"/>
        <w:keepLines w:val="0"/>
        <w:pageBreakBefore w:val="0"/>
        <w:widowControl w:val="0"/>
        <w:kinsoku/>
        <w:wordWrap/>
        <w:overflowPunct/>
        <w:topLinePunct w:val="0"/>
        <w:autoSpaceDE/>
        <w:autoSpaceDN/>
        <w:bidi w:val="0"/>
        <w:adjustRightInd/>
        <w:snapToGrid/>
        <w:spacing w:before="0" w:line="240" w:lineRule="auto"/>
        <w:jc w:val="right"/>
        <w:textAlignment w:val="auto"/>
        <w:outlineLvl w:val="2"/>
        <w:rPr>
          <w:rFonts w:ascii="宋体" w:hAnsi="宋体"/>
          <w:sz w:val="28"/>
          <w:szCs w:val="28"/>
        </w:rPr>
      </w:pPr>
      <w:bookmarkStart w:id="14" w:name="_Toc30298"/>
      <w:r>
        <w:rPr>
          <w:rFonts w:hint="eastAsia" w:ascii="宋体" w:hAnsi="宋体" w:cs="宋体"/>
          <w:sz w:val="28"/>
          <w:szCs w:val="28"/>
          <w:lang w:bidi="ar"/>
        </w:rPr>
        <w:t>单位：万元</w:t>
      </w:r>
      <w:bookmarkEnd w:id="14"/>
    </w:p>
    <w:tbl>
      <w:tblPr>
        <w:tblStyle w:val="15"/>
        <w:tblW w:w="9069"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49"/>
        <w:gridCol w:w="3572"/>
        <w:gridCol w:w="1444"/>
        <w:gridCol w:w="1365"/>
        <w:gridCol w:w="1339"/>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349" w:type="dxa"/>
            <w:tcBorders>
              <w:tl2br w:val="nil"/>
              <w:tr2bl w:val="nil"/>
            </w:tcBorders>
            <w:shd w:val="clear" w:color="auto" w:fill="BEBEBE" w:themeFill="background1" w:themeFillShade="BF"/>
            <w:noWrap/>
            <w:vAlign w:val="center"/>
          </w:tcPr>
          <w:p>
            <w:pPr>
              <w:widowControl/>
              <w:adjustRightInd w:val="0"/>
              <w:snapToGrid w:val="0"/>
              <w:jc w:val="center"/>
              <w:textAlignment w:val="center"/>
              <w:rPr>
                <w:rFonts w:ascii="宋体" w:hAnsi="宋体" w:eastAsia="宋体" w:cs="宋体"/>
                <w:b/>
                <w:bCs/>
                <w:sz w:val="24"/>
              </w:rPr>
            </w:pPr>
            <w:r>
              <w:rPr>
                <w:rFonts w:hint="eastAsia" w:ascii="宋体" w:hAnsi="宋体" w:eastAsia="宋体" w:cs="宋体"/>
                <w:b/>
                <w:bCs/>
                <w:kern w:val="0"/>
                <w:sz w:val="24"/>
                <w:lang w:bidi="ar"/>
              </w:rPr>
              <w:t>序号</w:t>
            </w:r>
          </w:p>
        </w:tc>
        <w:tc>
          <w:tcPr>
            <w:tcW w:w="3572" w:type="dxa"/>
            <w:tcBorders>
              <w:tl2br w:val="nil"/>
              <w:tr2bl w:val="nil"/>
            </w:tcBorders>
            <w:shd w:val="clear" w:color="auto" w:fill="BEBEBE" w:themeFill="background1" w:themeFillShade="BF"/>
            <w:noWrap/>
            <w:vAlign w:val="center"/>
          </w:tcPr>
          <w:p>
            <w:pPr>
              <w:widowControl/>
              <w:adjustRightInd w:val="0"/>
              <w:snapToGrid w:val="0"/>
              <w:jc w:val="center"/>
              <w:textAlignment w:val="center"/>
              <w:rPr>
                <w:rFonts w:ascii="宋体" w:hAnsi="宋体" w:eastAsia="宋体" w:cs="宋体"/>
                <w:b/>
                <w:bCs/>
                <w:sz w:val="24"/>
              </w:rPr>
            </w:pPr>
            <w:r>
              <w:rPr>
                <w:rFonts w:hint="eastAsia" w:ascii="宋体" w:hAnsi="宋体" w:eastAsia="宋体" w:cs="宋体"/>
                <w:b/>
                <w:bCs/>
                <w:kern w:val="0"/>
                <w:sz w:val="24"/>
                <w:lang w:bidi="ar"/>
              </w:rPr>
              <w:t>项目名称</w:t>
            </w:r>
          </w:p>
        </w:tc>
        <w:tc>
          <w:tcPr>
            <w:tcW w:w="1444" w:type="dxa"/>
            <w:tcBorders>
              <w:tl2br w:val="nil"/>
              <w:tr2bl w:val="nil"/>
            </w:tcBorders>
            <w:shd w:val="clear" w:color="auto" w:fill="BEBEBE" w:themeFill="background1" w:themeFillShade="BF"/>
            <w:noWrap/>
            <w:vAlign w:val="center"/>
          </w:tcPr>
          <w:p>
            <w:pPr>
              <w:widowControl/>
              <w:adjustRightInd w:val="0"/>
              <w:snapToGrid w:val="0"/>
              <w:jc w:val="center"/>
              <w:textAlignment w:val="center"/>
              <w:rPr>
                <w:rFonts w:ascii="宋体" w:hAnsi="宋体" w:eastAsia="宋体" w:cs="宋体"/>
                <w:b/>
                <w:bCs/>
                <w:sz w:val="24"/>
              </w:rPr>
            </w:pPr>
            <w:r>
              <w:rPr>
                <w:rFonts w:hint="eastAsia" w:ascii="宋体" w:hAnsi="宋体" w:eastAsia="宋体" w:cs="宋体"/>
                <w:b/>
                <w:bCs/>
                <w:kern w:val="0"/>
                <w:sz w:val="24"/>
                <w:lang w:bidi="ar"/>
              </w:rPr>
              <w:t>预算金额</w:t>
            </w:r>
          </w:p>
        </w:tc>
        <w:tc>
          <w:tcPr>
            <w:tcW w:w="1365" w:type="dxa"/>
            <w:tcBorders>
              <w:tl2br w:val="nil"/>
              <w:tr2bl w:val="nil"/>
            </w:tcBorders>
            <w:shd w:val="clear" w:color="auto" w:fill="BEBEBE" w:themeFill="background1" w:themeFillShade="BF"/>
            <w:noWrap/>
            <w:vAlign w:val="center"/>
          </w:tcPr>
          <w:p>
            <w:pPr>
              <w:widowControl/>
              <w:adjustRightInd w:val="0"/>
              <w:snapToGrid w:val="0"/>
              <w:jc w:val="center"/>
              <w:textAlignment w:val="center"/>
              <w:rPr>
                <w:rFonts w:ascii="宋体" w:hAnsi="宋体" w:eastAsia="宋体" w:cs="宋体"/>
                <w:b/>
                <w:bCs/>
                <w:sz w:val="24"/>
              </w:rPr>
            </w:pPr>
            <w:r>
              <w:rPr>
                <w:rFonts w:hint="eastAsia" w:ascii="宋体" w:hAnsi="宋体" w:eastAsia="宋体" w:cs="宋体"/>
                <w:b/>
                <w:bCs/>
                <w:kern w:val="0"/>
                <w:sz w:val="24"/>
                <w:lang w:bidi="ar"/>
              </w:rPr>
              <w:t>支付金额</w:t>
            </w:r>
          </w:p>
        </w:tc>
        <w:tc>
          <w:tcPr>
            <w:tcW w:w="1339" w:type="dxa"/>
            <w:tcBorders>
              <w:tl2br w:val="nil"/>
              <w:tr2bl w:val="nil"/>
            </w:tcBorders>
            <w:shd w:val="clear" w:color="auto" w:fill="BEBEBE" w:themeFill="background1" w:themeFillShade="BF"/>
            <w:noWrap/>
            <w:vAlign w:val="center"/>
          </w:tcPr>
          <w:p>
            <w:pPr>
              <w:widowControl/>
              <w:adjustRightInd w:val="0"/>
              <w:snapToGrid w:val="0"/>
              <w:jc w:val="center"/>
              <w:textAlignment w:val="center"/>
              <w:rPr>
                <w:rFonts w:ascii="宋体" w:hAnsi="宋体" w:eastAsia="宋体" w:cs="宋体"/>
                <w:b/>
                <w:bCs/>
                <w:sz w:val="24"/>
              </w:rPr>
            </w:pPr>
            <w:r>
              <w:rPr>
                <w:rFonts w:hint="eastAsia" w:ascii="宋体" w:hAnsi="宋体" w:eastAsia="宋体" w:cs="宋体"/>
                <w:b/>
                <w:bCs/>
                <w:kern w:val="0"/>
                <w:sz w:val="24"/>
                <w:lang w:bidi="ar"/>
              </w:rPr>
              <w:t>结余</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4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3572"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color w:val="000000"/>
                <w:kern w:val="0"/>
                <w:sz w:val="24"/>
                <w:lang w:bidi="ar"/>
              </w:rPr>
              <w:t>平场地尾款</w:t>
            </w:r>
          </w:p>
        </w:tc>
        <w:tc>
          <w:tcPr>
            <w:tcW w:w="1444"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2.901</w:t>
            </w:r>
          </w:p>
        </w:tc>
        <w:tc>
          <w:tcPr>
            <w:tcW w:w="1365"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color w:val="000000"/>
                <w:kern w:val="0"/>
                <w:sz w:val="24"/>
                <w:lang w:bidi="ar"/>
              </w:rPr>
              <w:t>2.901</w:t>
            </w:r>
          </w:p>
        </w:tc>
        <w:tc>
          <w:tcPr>
            <w:tcW w:w="133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kern w:val="0"/>
                <w:sz w:val="24"/>
                <w:lang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4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kern w:val="0"/>
                <w:sz w:val="24"/>
                <w:lang w:bidi="ar"/>
              </w:rPr>
              <w:t>2</w:t>
            </w:r>
          </w:p>
        </w:tc>
        <w:tc>
          <w:tcPr>
            <w:tcW w:w="3572"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水泵尾款</w:t>
            </w:r>
          </w:p>
        </w:tc>
        <w:tc>
          <w:tcPr>
            <w:tcW w:w="1444"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color w:val="000000"/>
                <w:kern w:val="0"/>
                <w:sz w:val="24"/>
                <w:lang w:bidi="ar"/>
              </w:rPr>
              <w:t>0.359</w:t>
            </w:r>
          </w:p>
        </w:tc>
        <w:tc>
          <w:tcPr>
            <w:tcW w:w="1365"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color w:val="000000"/>
                <w:kern w:val="0"/>
                <w:sz w:val="24"/>
                <w:lang w:bidi="ar"/>
              </w:rPr>
              <w:t>0.359</w:t>
            </w:r>
          </w:p>
        </w:tc>
        <w:tc>
          <w:tcPr>
            <w:tcW w:w="133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sz w:val="24"/>
              </w:rPr>
            </w:pPr>
            <w:r>
              <w:rPr>
                <w:rFonts w:hint="eastAsia" w:ascii="宋体" w:hAnsi="宋体" w:eastAsia="宋体" w:cs="宋体"/>
                <w:kern w:val="0"/>
                <w:sz w:val="24"/>
                <w:lang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4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3</w:t>
            </w:r>
          </w:p>
        </w:tc>
        <w:tc>
          <w:tcPr>
            <w:tcW w:w="3572"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打井尾款</w:t>
            </w:r>
          </w:p>
        </w:tc>
        <w:tc>
          <w:tcPr>
            <w:tcW w:w="1444"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3.2</w:t>
            </w:r>
          </w:p>
        </w:tc>
        <w:tc>
          <w:tcPr>
            <w:tcW w:w="1365"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3.2</w:t>
            </w:r>
          </w:p>
        </w:tc>
        <w:tc>
          <w:tcPr>
            <w:tcW w:w="133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4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4</w:t>
            </w:r>
          </w:p>
        </w:tc>
        <w:tc>
          <w:tcPr>
            <w:tcW w:w="3572"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“三通一平”电流增补项目款</w:t>
            </w:r>
          </w:p>
        </w:tc>
        <w:tc>
          <w:tcPr>
            <w:tcW w:w="1444"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12.58</w:t>
            </w:r>
          </w:p>
        </w:tc>
        <w:tc>
          <w:tcPr>
            <w:tcW w:w="1365"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color w:val="000000"/>
                <w:kern w:val="0"/>
                <w:sz w:val="24"/>
                <w:lang w:bidi="ar"/>
              </w:rPr>
              <w:t>12.58</w:t>
            </w:r>
          </w:p>
        </w:tc>
        <w:tc>
          <w:tcPr>
            <w:tcW w:w="133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4921" w:type="dxa"/>
            <w:gridSpan w:val="2"/>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合计</w:t>
            </w:r>
          </w:p>
        </w:tc>
        <w:tc>
          <w:tcPr>
            <w:tcW w:w="1444"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fldChar w:fldCharType="begin"/>
            </w:r>
            <w:r>
              <w:rPr>
                <w:rFonts w:ascii="宋体" w:hAnsi="宋体" w:eastAsia="宋体" w:cs="宋体"/>
                <w:color w:val="000000"/>
                <w:kern w:val="0"/>
                <w:sz w:val="24"/>
                <w:lang w:bidi="ar"/>
              </w:rPr>
              <w:instrText xml:space="preserve"> =SUM(ABOVE) \* MERGEFORMAT </w:instrText>
            </w:r>
            <w:r>
              <w:rPr>
                <w:rFonts w:ascii="宋体" w:hAnsi="宋体" w:eastAsia="宋体" w:cs="宋体"/>
                <w:color w:val="000000"/>
                <w:kern w:val="0"/>
                <w:sz w:val="24"/>
                <w:lang w:bidi="ar"/>
              </w:rPr>
              <w:fldChar w:fldCharType="separate"/>
            </w:r>
            <w:r>
              <w:rPr>
                <w:rFonts w:ascii="宋体" w:hAnsi="宋体" w:eastAsia="宋体" w:cs="宋体"/>
                <w:color w:val="000000"/>
                <w:kern w:val="0"/>
                <w:sz w:val="24"/>
                <w:lang w:bidi="ar"/>
              </w:rPr>
              <w:t>19.04</w:t>
            </w:r>
            <w:r>
              <w:rPr>
                <w:rFonts w:ascii="宋体" w:hAnsi="宋体" w:eastAsia="宋体" w:cs="宋体"/>
                <w:color w:val="000000"/>
                <w:kern w:val="0"/>
                <w:sz w:val="24"/>
                <w:lang w:bidi="ar"/>
              </w:rPr>
              <w:fldChar w:fldCharType="end"/>
            </w:r>
          </w:p>
        </w:tc>
        <w:tc>
          <w:tcPr>
            <w:tcW w:w="1365"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fldChar w:fldCharType="begin"/>
            </w:r>
            <w:r>
              <w:rPr>
                <w:rFonts w:ascii="宋体" w:hAnsi="宋体" w:eastAsia="宋体" w:cs="宋体"/>
                <w:color w:val="000000"/>
                <w:kern w:val="0"/>
                <w:sz w:val="24"/>
                <w:lang w:bidi="ar"/>
              </w:rPr>
              <w:instrText xml:space="preserve"> =SUM(ABOVE) \* MERGEFORMAT </w:instrText>
            </w:r>
            <w:r>
              <w:rPr>
                <w:rFonts w:ascii="宋体" w:hAnsi="宋体" w:eastAsia="宋体" w:cs="宋体"/>
                <w:color w:val="000000"/>
                <w:kern w:val="0"/>
                <w:sz w:val="24"/>
                <w:lang w:bidi="ar"/>
              </w:rPr>
              <w:fldChar w:fldCharType="separate"/>
            </w:r>
            <w:r>
              <w:rPr>
                <w:rFonts w:ascii="宋体" w:hAnsi="宋体" w:eastAsia="宋体" w:cs="宋体"/>
                <w:color w:val="000000"/>
                <w:kern w:val="0"/>
                <w:sz w:val="24"/>
                <w:lang w:bidi="ar"/>
              </w:rPr>
              <w:t>19.04</w:t>
            </w:r>
            <w:r>
              <w:rPr>
                <w:rFonts w:ascii="宋体" w:hAnsi="宋体" w:eastAsia="宋体" w:cs="宋体"/>
                <w:color w:val="000000"/>
                <w:kern w:val="0"/>
                <w:sz w:val="24"/>
                <w:lang w:bidi="ar"/>
              </w:rPr>
              <w:fldChar w:fldCharType="end"/>
            </w:r>
          </w:p>
        </w:tc>
        <w:tc>
          <w:tcPr>
            <w:tcW w:w="1339" w:type="dxa"/>
            <w:tcBorders>
              <w:tl2br w:val="nil"/>
              <w:tr2bl w:val="nil"/>
            </w:tcBorders>
            <w:shd w:val="clear" w:color="auto" w:fill="auto"/>
            <w:noWrap/>
            <w:vAlign w:val="center"/>
          </w:tcPr>
          <w:p>
            <w:pPr>
              <w:widowControl/>
              <w:adjustRightInd w:val="0"/>
              <w:snapToGrid w:val="0"/>
              <w:jc w:val="center"/>
              <w:textAlignment w:val="center"/>
              <w:rPr>
                <w:rFonts w:ascii="宋体" w:hAnsi="宋体" w:eastAsia="宋体" w:cs="宋体"/>
                <w:kern w:val="0"/>
                <w:sz w:val="24"/>
                <w:lang w:bidi="ar"/>
              </w:rPr>
            </w:pPr>
            <w:r>
              <w:rPr>
                <w:rFonts w:hint="eastAsia" w:ascii="宋体" w:hAnsi="宋体" w:eastAsia="宋体" w:cs="宋体"/>
                <w:kern w:val="0"/>
                <w:sz w:val="24"/>
                <w:lang w:bidi="ar"/>
              </w:rPr>
              <w:t>0</w:t>
            </w:r>
          </w:p>
        </w:tc>
      </w:tr>
    </w:tbl>
    <w:p>
      <w:pPr>
        <w:pStyle w:val="14"/>
        <w:widowControl/>
        <w:adjustRightInd w:val="0"/>
        <w:snapToGrid w:val="0"/>
        <w:spacing w:before="159" w:beforeLines="50"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15" w:name="_Toc13066"/>
      <w:bookmarkStart w:id="16" w:name="_Toc17524"/>
      <w:r>
        <w:rPr>
          <w:rFonts w:hint="eastAsia" w:ascii="楷体_GB2312" w:hAnsi="楷体_GB2312" w:eastAsia="楷体_GB2312" w:cs="楷体_GB2312"/>
          <w:color w:val="000000"/>
          <w:sz w:val="28"/>
          <w:szCs w:val="28"/>
        </w:rPr>
        <w:t>（四）项目绩效目标</w:t>
      </w:r>
      <w:bookmarkEnd w:id="15"/>
      <w:bookmarkEnd w:id="16"/>
    </w:p>
    <w:p>
      <w:pPr>
        <w:adjustRightInd w:val="0"/>
        <w:snapToGrid w:val="0"/>
        <w:spacing w:line="360" w:lineRule="auto"/>
        <w:ind w:firstLine="562" w:firstLineChars="200"/>
        <w:outlineLvl w:val="2"/>
        <w:rPr>
          <w:rFonts w:ascii="仿宋_GB2312" w:hAnsi="仿宋_GB2312" w:eastAsia="仿宋_GB2312"/>
          <w:b/>
          <w:bCs/>
          <w:sz w:val="28"/>
          <w:szCs w:val="32"/>
        </w:rPr>
      </w:pPr>
      <w:bookmarkStart w:id="17" w:name="_Toc5893"/>
      <w:r>
        <w:rPr>
          <w:rFonts w:hint="eastAsia" w:ascii="仿宋_GB2312" w:hAnsi="仿宋_GB2312" w:eastAsia="仿宋_GB2312"/>
          <w:b/>
          <w:bCs/>
          <w:sz w:val="28"/>
          <w:szCs w:val="32"/>
        </w:rPr>
        <w:t>1.总体目标</w:t>
      </w:r>
      <w:bookmarkEnd w:id="17"/>
    </w:p>
    <w:p>
      <w:pPr>
        <w:tabs>
          <w:tab w:val="left" w:pos="3528"/>
        </w:tabs>
        <w:autoSpaceDE w:val="0"/>
        <w:autoSpaceDN w:val="0"/>
        <w:adjustRightInd w:val="0"/>
        <w:snapToGrid w:val="0"/>
        <w:spacing w:line="360" w:lineRule="auto"/>
        <w:ind w:firstLine="560" w:firstLineChars="200"/>
        <w:rPr>
          <w:rFonts w:ascii="仿宋_GB2312" w:eastAsia="仿宋_GB2312"/>
          <w:sz w:val="28"/>
        </w:rPr>
      </w:pPr>
      <w:r>
        <w:rPr>
          <w:rFonts w:hint="eastAsia" w:ascii="仿宋_GB2312" w:eastAsia="仿宋_GB2312"/>
          <w:sz w:val="28"/>
        </w:rPr>
        <w:t>2020年度，在县、乡两级政府大力支持下，有序推进龙头企业生猪养殖场基础设施的建设补助，改善了养殖场的环境，扩大了生猪养殖规模，同时增加了贫困户的收入，实施乡村振兴，巩固脱贫攻坚成果。</w:t>
      </w:r>
    </w:p>
    <w:p>
      <w:pPr>
        <w:adjustRightInd w:val="0"/>
        <w:snapToGrid w:val="0"/>
        <w:spacing w:line="360" w:lineRule="auto"/>
        <w:ind w:firstLine="562" w:firstLineChars="200"/>
        <w:outlineLvl w:val="2"/>
        <w:rPr>
          <w:rFonts w:ascii="仿宋_GB2312" w:hAnsi="仿宋_GB2312" w:eastAsia="仿宋_GB2312" w:cs="仿宋_GB2312"/>
          <w:b/>
          <w:bCs/>
          <w:color w:val="000000"/>
          <w:sz w:val="28"/>
          <w:szCs w:val="27"/>
        </w:rPr>
      </w:pPr>
      <w:bookmarkStart w:id="18" w:name="_Toc25445"/>
      <w:r>
        <w:rPr>
          <w:rFonts w:hint="eastAsia" w:ascii="仿宋_GB2312" w:hAnsi="仿宋_GB2312" w:eastAsia="仿宋_GB2312"/>
          <w:b/>
          <w:bCs/>
          <w:sz w:val="28"/>
          <w:szCs w:val="32"/>
        </w:rPr>
        <w:t>2.具体目标</w:t>
      </w:r>
      <w:bookmarkEnd w:id="18"/>
    </w:p>
    <w:p>
      <w:pPr>
        <w:adjustRightInd w:val="0"/>
        <w:snapToGrid w:val="0"/>
        <w:spacing w:line="360" w:lineRule="auto"/>
        <w:ind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sz w:val="28"/>
          <w:szCs w:val="20"/>
        </w:rPr>
        <w:t>（1）</w:t>
      </w:r>
      <w:r>
        <w:rPr>
          <w:rFonts w:hint="eastAsia" w:ascii="仿宋_GB2312" w:hAnsi="仿宋_GB2312" w:eastAsia="仿宋_GB2312" w:cs="仿宋_GB2312"/>
          <w:color w:val="000000"/>
          <w:kern w:val="0"/>
          <w:sz w:val="28"/>
          <w:szCs w:val="28"/>
          <w:lang w:bidi="ar"/>
        </w:rPr>
        <w:t>平整场地、水泵、打井、“三通一平”电流增补项目按时完成；</w:t>
      </w:r>
    </w:p>
    <w:p>
      <w:pPr>
        <w:adjustRightInd w:val="0"/>
        <w:snapToGrid w:val="0"/>
        <w:spacing w:line="360" w:lineRule="auto"/>
        <w:ind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（2）项目验收合格；</w:t>
      </w:r>
    </w:p>
    <w:p>
      <w:pPr>
        <w:adjustRightInd w:val="0"/>
        <w:snapToGrid w:val="0"/>
        <w:spacing w:line="360" w:lineRule="auto"/>
        <w:ind w:firstLine="560" w:firstLineChars="200"/>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（3）补助资金及时拨付；</w:t>
      </w:r>
    </w:p>
    <w:p>
      <w:pPr>
        <w:adjustRightInd w:val="0"/>
        <w:snapToGrid w:val="0"/>
        <w:spacing w:line="360" w:lineRule="auto"/>
        <w:ind w:firstLine="560" w:firstLineChars="200"/>
        <w:rPr>
          <w:rFonts w:ascii="仿宋_GB2312" w:hAnsi="仿宋_GB2312" w:eastAsia="仿宋_GB2312" w:cs="仿宋_GB2312"/>
          <w:sz w:val="28"/>
          <w:szCs w:val="20"/>
        </w:rPr>
      </w:pPr>
      <w:r>
        <w:rPr>
          <w:rFonts w:hint="eastAsia" w:ascii="仿宋_GB2312" w:hAnsi="仿宋_GB2312" w:eastAsia="仿宋_GB2312" w:cs="仿宋_GB2312"/>
          <w:color w:val="000000"/>
          <w:kern w:val="0"/>
          <w:sz w:val="28"/>
          <w:szCs w:val="28"/>
          <w:lang w:bidi="ar"/>
        </w:rPr>
        <w:t>（4）</w:t>
      </w:r>
      <w:r>
        <w:rPr>
          <w:rFonts w:hint="eastAsia" w:ascii="仿宋_GB2312" w:hAnsi="仿宋_GB2312" w:eastAsia="仿宋_GB2312" w:cs="仿宋_GB2312"/>
          <w:sz w:val="28"/>
          <w:szCs w:val="20"/>
        </w:rPr>
        <w:t>改善了养殖场基础设施，扩大了生猪养殖规模；</w:t>
      </w:r>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kern w:val="2"/>
          <w:sz w:val="28"/>
          <w:szCs w:val="20"/>
        </w:rPr>
      </w:pPr>
      <w:r>
        <w:rPr>
          <w:rFonts w:hint="eastAsia" w:ascii="仿宋_GB2312" w:hAnsi="仿宋_GB2312" w:eastAsia="仿宋_GB2312" w:cs="仿宋_GB2312"/>
          <w:kern w:val="2"/>
          <w:sz w:val="28"/>
          <w:szCs w:val="20"/>
        </w:rPr>
        <w:t>（5）</w:t>
      </w:r>
      <w:r>
        <w:rPr>
          <w:rFonts w:hint="eastAsia" w:ascii="仿宋_GB2312" w:hAnsi="仿宋_GB2312" w:eastAsia="仿宋_GB2312" w:cs="仿宋_GB2312"/>
          <w:sz w:val="28"/>
        </w:rPr>
        <w:t>巩固脱贫攻坚成果；</w:t>
      </w:r>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kern w:val="2"/>
          <w:sz w:val="28"/>
          <w:szCs w:val="20"/>
        </w:rPr>
        <w:t>（6）养殖企业满意度达90%以上。</w:t>
      </w:r>
    </w:p>
    <w:p>
      <w:pPr>
        <w:pStyle w:val="14"/>
        <w:widowControl/>
        <w:adjustRightInd w:val="0"/>
        <w:snapToGrid w:val="0"/>
        <w:spacing w:beforeAutospacing="0" w:afterAutospacing="0" w:line="360" w:lineRule="auto"/>
        <w:ind w:firstLine="560" w:firstLineChars="200"/>
        <w:outlineLvl w:val="0"/>
        <w:rPr>
          <w:rFonts w:ascii="黑体" w:hAnsi="黑体" w:eastAsia="黑体" w:cs="黑体"/>
          <w:color w:val="000000"/>
          <w:sz w:val="28"/>
          <w:szCs w:val="28"/>
        </w:rPr>
      </w:pPr>
      <w:bookmarkStart w:id="19" w:name="_Toc26949"/>
      <w:bookmarkStart w:id="20" w:name="_Toc507"/>
      <w:r>
        <w:rPr>
          <w:rFonts w:hint="eastAsia" w:ascii="黑体" w:hAnsi="黑体" w:eastAsia="黑体" w:cs="黑体"/>
          <w:color w:val="000000"/>
          <w:sz w:val="28"/>
          <w:szCs w:val="28"/>
        </w:rPr>
        <w:t>二、绩效评价工作开展情况</w:t>
      </w:r>
      <w:bookmarkEnd w:id="19"/>
      <w:bookmarkEnd w:id="20"/>
    </w:p>
    <w:p>
      <w:pPr>
        <w:pStyle w:val="14"/>
        <w:widowControl/>
        <w:adjustRightInd w:val="0"/>
        <w:snapToGrid w:val="0"/>
        <w:spacing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21" w:name="_Toc27462"/>
      <w:bookmarkStart w:id="22" w:name="_Toc16873"/>
      <w:r>
        <w:rPr>
          <w:rFonts w:hint="eastAsia" w:ascii="楷体_GB2312" w:hAnsi="楷体_GB2312" w:eastAsia="楷体_GB2312" w:cs="楷体_GB2312"/>
          <w:color w:val="000000"/>
          <w:sz w:val="28"/>
          <w:szCs w:val="28"/>
        </w:rPr>
        <w:t>（一）评价目的</w:t>
      </w:r>
      <w:bookmarkEnd w:id="21"/>
      <w:bookmarkEnd w:id="22"/>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本次绩效评价依据</w:t>
      </w:r>
      <w:r>
        <w:rPr>
          <w:rFonts w:hint="eastAsia" w:ascii="仿宋_GB2312" w:hAnsi="仿宋_GB2312" w:eastAsia="仿宋_GB2312" w:cs="仿宋_GB2312"/>
          <w:color w:val="000000"/>
          <w:sz w:val="28"/>
          <w:szCs w:val="27"/>
        </w:rPr>
        <w:t>《宁武县财政局关于开展2020年度项目支出绩效评价工作的通知》（宁财字〔2020〕13号）</w:t>
      </w:r>
      <w:r>
        <w:rPr>
          <w:rFonts w:hint="eastAsia" w:ascii="仿宋_GB2312" w:hAnsi="仿宋_GB2312" w:eastAsia="仿宋_GB2312" w:cs="仿宋_GB2312"/>
          <w:sz w:val="28"/>
          <w:szCs w:val="28"/>
        </w:rPr>
        <w:t>，对宁武县化北屯乡2020年统筹整合资金进行绩效评价。通过预算绩效评价，及时发现问题，总结经验，提出改进意见。一是为政府相关决策及下一年度预算安排提供依据；二是为化北屯乡人民政府掌握项目动态、优化项目信息反馈机制、加强项目监管，进一步修改完善化北屯乡2020年统筹整合资金提供参考。</w:t>
      </w:r>
    </w:p>
    <w:p>
      <w:pPr>
        <w:pStyle w:val="14"/>
        <w:widowControl/>
        <w:adjustRightInd w:val="0"/>
        <w:snapToGrid w:val="0"/>
        <w:spacing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23" w:name="_Toc13128"/>
      <w:bookmarkStart w:id="24" w:name="_Toc14905"/>
      <w:r>
        <w:rPr>
          <w:rFonts w:hint="eastAsia" w:ascii="楷体_GB2312" w:hAnsi="楷体_GB2312" w:eastAsia="楷体_GB2312" w:cs="楷体_GB2312"/>
          <w:color w:val="000000"/>
          <w:sz w:val="28"/>
          <w:szCs w:val="28"/>
        </w:rPr>
        <w:t>（二）评价对象和范围</w:t>
      </w:r>
      <w:bookmarkEnd w:id="23"/>
      <w:bookmarkEnd w:id="24"/>
    </w:p>
    <w:p>
      <w:pPr>
        <w:pStyle w:val="14"/>
        <w:widowControl/>
        <w:adjustRightInd w:val="0"/>
        <w:snapToGrid w:val="0"/>
        <w:spacing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25" w:name="_Toc28131"/>
      <w:r>
        <w:rPr>
          <w:rFonts w:hint="eastAsia" w:ascii="仿宋_GB2312" w:hAnsi="仿宋_GB2312" w:eastAsia="仿宋_GB2312" w:cs="仿宋_GB2312"/>
          <w:color w:val="000000"/>
          <w:sz w:val="28"/>
          <w:szCs w:val="28"/>
        </w:rPr>
        <w:t>本次评价对象为宁武县化北屯乡2020年统筹整合资金19.4万元。</w:t>
      </w:r>
      <w:bookmarkEnd w:id="25"/>
    </w:p>
    <w:p>
      <w:pPr>
        <w:pStyle w:val="14"/>
        <w:widowControl/>
        <w:adjustRightInd w:val="0"/>
        <w:snapToGrid w:val="0"/>
        <w:spacing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26" w:name="_Toc12450"/>
      <w:r>
        <w:rPr>
          <w:rFonts w:hint="eastAsia" w:ascii="仿宋_GB2312" w:hAnsi="仿宋_GB2312" w:eastAsia="仿宋_GB2312" w:cs="仿宋_GB2312"/>
          <w:color w:val="000000"/>
          <w:sz w:val="28"/>
          <w:szCs w:val="28"/>
        </w:rPr>
        <w:t>本次评价的范围为宁武县化北屯乡生猪养殖场建设项目包括养殖场平场地、购买水泵、打井尾款和“三通一平”电流增补项目四个子项目。</w:t>
      </w:r>
      <w:bookmarkEnd w:id="26"/>
    </w:p>
    <w:p>
      <w:pPr>
        <w:pStyle w:val="14"/>
        <w:widowControl/>
        <w:adjustRightInd w:val="0"/>
        <w:snapToGrid w:val="0"/>
        <w:spacing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27" w:name="_Toc19512"/>
      <w:bookmarkStart w:id="28" w:name="_Toc18570"/>
      <w:r>
        <w:rPr>
          <w:rFonts w:hint="eastAsia" w:ascii="楷体_GB2312" w:hAnsi="楷体_GB2312" w:eastAsia="楷体_GB2312" w:cs="楷体_GB2312"/>
          <w:color w:val="000000"/>
          <w:sz w:val="28"/>
          <w:szCs w:val="28"/>
        </w:rPr>
        <w:t>（三）评价基准日</w:t>
      </w:r>
      <w:bookmarkEnd w:id="27"/>
      <w:bookmarkEnd w:id="28"/>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根据统筹整合资金计划下达时间、项目实施期限、项目绩效显现等因素，综合确定本次绩效评价基准日为2020年12月31日。</w:t>
      </w:r>
    </w:p>
    <w:p>
      <w:pPr>
        <w:pStyle w:val="14"/>
        <w:widowControl/>
        <w:adjustRightInd w:val="0"/>
        <w:snapToGrid w:val="0"/>
        <w:spacing w:beforeAutospacing="0" w:afterAutospacing="0" w:line="360" w:lineRule="auto"/>
        <w:ind w:firstLine="560" w:firstLineChars="200"/>
        <w:outlineLvl w:val="1"/>
        <w:rPr>
          <w:rFonts w:ascii="楷体_GB2312" w:hAnsi="楷体_GB2312" w:eastAsia="楷体_GB2312" w:cs="楷体_GB2312"/>
          <w:color w:val="000000"/>
          <w:sz w:val="28"/>
          <w:szCs w:val="28"/>
        </w:rPr>
      </w:pPr>
      <w:bookmarkStart w:id="29" w:name="_Toc12233"/>
      <w:bookmarkStart w:id="30" w:name="_Toc28680"/>
      <w:r>
        <w:rPr>
          <w:rFonts w:hint="eastAsia" w:ascii="楷体_GB2312" w:hAnsi="楷体_GB2312" w:eastAsia="楷体_GB2312" w:cs="楷体_GB2312"/>
          <w:color w:val="000000"/>
          <w:sz w:val="28"/>
          <w:szCs w:val="28"/>
        </w:rPr>
        <w:t>（四）绩效评价指标体系</w:t>
      </w:r>
      <w:bookmarkEnd w:id="29"/>
      <w:bookmarkEnd w:id="30"/>
    </w:p>
    <w:p>
      <w:pPr>
        <w:pStyle w:val="6"/>
        <w:adjustRightInd w:val="0"/>
        <w:snapToGrid w:val="0"/>
        <w:ind w:firstLine="560"/>
        <w:rPr>
          <w:rFonts w:ascii="仿宋_GB2312" w:hAnsi="仿宋_GB2312" w:cs="仿宋_GB2312"/>
          <w:sz w:val="28"/>
          <w:szCs w:val="28"/>
        </w:rPr>
      </w:pPr>
      <w:bookmarkStart w:id="31" w:name="_Toc8685"/>
      <w:r>
        <w:rPr>
          <w:rFonts w:hint="eastAsia" w:ascii="仿宋_GB2312" w:hAnsi="仿宋_GB2312" w:cs="仿宋_GB2312"/>
          <w:sz w:val="28"/>
          <w:szCs w:val="28"/>
        </w:rPr>
        <w:t>1.指标体系设计思路</w:t>
      </w:r>
      <w:bookmarkEnd w:id="31"/>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按照财政部《项目支出绩效评价管理办法》（财预〔2020〕10号）和山西省财政厅《省级项目支出绩效评价管理办法》（晋财绩〔2020〕17号）中的项目支出绩效评价指标体系框架（参考），遵循“突出项目资金、兼顾政策内容”的评价思路，结合化</w:t>
      </w:r>
      <w:r>
        <w:rPr>
          <w:rFonts w:hint="eastAsia" w:ascii="仿宋_GB2312" w:hAnsi="仿宋_GB2312" w:eastAsia="仿宋_GB2312" w:cs="仿宋_GB2312"/>
          <w:kern w:val="2"/>
          <w:sz w:val="28"/>
          <w:szCs w:val="28"/>
        </w:rPr>
        <w:t>北屯乡生猪养殖场建设项目</w:t>
      </w:r>
      <w:r>
        <w:rPr>
          <w:rFonts w:hint="eastAsia" w:ascii="仿宋_GB2312" w:hAnsi="仿宋_GB2312" w:eastAsia="仿宋_GB2312" w:cs="仿宋_GB2312"/>
          <w:color w:val="000000"/>
          <w:sz w:val="28"/>
          <w:szCs w:val="28"/>
        </w:rPr>
        <w:t>的实际情况，本着全面反映化北屯乡生猪养殖</w:t>
      </w:r>
      <w:r>
        <w:rPr>
          <w:rFonts w:hint="eastAsia" w:ascii="仿宋_GB2312" w:hAnsi="仿宋_GB2312" w:eastAsia="仿宋_GB2312" w:cs="仿宋_GB2312"/>
          <w:kern w:val="2"/>
          <w:sz w:val="28"/>
          <w:szCs w:val="28"/>
        </w:rPr>
        <w:t>场建设项目</w:t>
      </w:r>
      <w:r>
        <w:rPr>
          <w:rFonts w:hint="eastAsia" w:ascii="仿宋_GB2312" w:hAnsi="仿宋_GB2312" w:eastAsia="仿宋_GB2312" w:cs="仿宋_GB2312"/>
          <w:color w:val="000000"/>
          <w:sz w:val="28"/>
          <w:szCs w:val="28"/>
        </w:rPr>
        <w:t>的预算绩效管理情况，本着尽可能细化、量化、可操作的原则，结合计划标准、历史标准等制定指标的目标值，兼顾相关政策内容，设计形成了化</w:t>
      </w:r>
      <w:r>
        <w:rPr>
          <w:rFonts w:hint="eastAsia" w:ascii="仿宋_GB2312" w:hAnsi="仿宋_GB2312" w:eastAsia="仿宋_GB2312" w:cs="仿宋_GB2312"/>
          <w:kern w:val="2"/>
          <w:sz w:val="28"/>
          <w:szCs w:val="28"/>
        </w:rPr>
        <w:t>北屯乡生猪养殖场建设项目</w:t>
      </w:r>
      <w:r>
        <w:rPr>
          <w:rFonts w:hint="eastAsia" w:ascii="仿宋_GB2312" w:hAnsi="仿宋_GB2312" w:eastAsia="仿宋_GB2312" w:cs="仿宋_GB2312"/>
          <w:color w:val="000000"/>
          <w:sz w:val="28"/>
          <w:szCs w:val="28"/>
        </w:rPr>
        <w:t>支出绩效评价指标体系，</w:t>
      </w:r>
      <w:r>
        <w:rPr>
          <w:rFonts w:hint="eastAsia" w:ascii="仿宋_GB2312" w:hAnsi="仿宋_GB2312" w:eastAsia="仿宋_GB2312" w:cs="仿宋_GB2312"/>
          <w:sz w:val="28"/>
          <w:szCs w:val="28"/>
        </w:rPr>
        <w:t>从决策、过程、产出和效益四个维度进行评价。</w:t>
      </w:r>
    </w:p>
    <w:p>
      <w:pPr>
        <w:pStyle w:val="6"/>
        <w:adjustRightInd w:val="0"/>
        <w:snapToGrid w:val="0"/>
        <w:ind w:firstLine="560"/>
        <w:rPr>
          <w:rFonts w:ascii="仿宋_GB2312" w:hAnsi="仿宋_GB2312" w:cs="仿宋_GB2312"/>
          <w:bCs/>
          <w:kern w:val="0"/>
          <w:sz w:val="28"/>
          <w:szCs w:val="28"/>
          <w:lang w:val="zh-CN" w:bidi="zh-CN"/>
        </w:rPr>
      </w:pPr>
      <w:bookmarkStart w:id="32" w:name="_Toc13"/>
      <w:r>
        <w:rPr>
          <w:rFonts w:hint="eastAsia" w:ascii="仿宋_GB2312" w:hAnsi="仿宋_GB2312" w:cs="仿宋_GB2312"/>
          <w:sz w:val="28"/>
          <w:szCs w:val="28"/>
        </w:rPr>
        <w:t>2</w:t>
      </w:r>
      <w:r>
        <w:rPr>
          <w:rFonts w:hint="eastAsia" w:ascii="仿宋_GB2312" w:hAnsi="仿宋_GB2312" w:cs="仿宋_GB2312"/>
          <w:sz w:val="28"/>
          <w:szCs w:val="28"/>
          <w:lang w:val="zh-CN"/>
        </w:rPr>
        <w:t>.权重设计思路</w:t>
      </w:r>
      <w:bookmarkEnd w:id="32"/>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bidi="zh-CN"/>
        </w:rPr>
        <w:t>本次</w:t>
      </w:r>
      <w:r>
        <w:rPr>
          <w:rFonts w:hint="eastAsia" w:ascii="仿宋_GB2312" w:hAnsi="仿宋_GB2312" w:eastAsia="仿宋_GB2312" w:cs="仿宋_GB2312"/>
          <w:sz w:val="28"/>
          <w:szCs w:val="28"/>
          <w:lang w:bidi="zh-CN"/>
        </w:rPr>
        <w:t>绩效评价一级指标</w:t>
      </w:r>
      <w:r>
        <w:rPr>
          <w:rFonts w:hint="eastAsia" w:ascii="仿宋_GB2312" w:hAnsi="仿宋_GB2312" w:eastAsia="仿宋_GB2312" w:cs="仿宋_GB2312"/>
          <w:sz w:val="28"/>
          <w:szCs w:val="28"/>
          <w:lang w:val="zh-CN" w:bidi="zh-CN"/>
        </w:rPr>
        <w:t>权重设计</w:t>
      </w:r>
      <w:r>
        <w:rPr>
          <w:rFonts w:hint="eastAsia" w:ascii="仿宋_GB2312" w:hAnsi="仿宋_GB2312" w:eastAsia="仿宋_GB2312" w:cs="仿宋_GB2312"/>
          <w:sz w:val="28"/>
          <w:szCs w:val="28"/>
          <w:lang w:bidi="zh-CN"/>
        </w:rPr>
        <w:t>按照财政部</w:t>
      </w:r>
      <w:r>
        <w:rPr>
          <w:rFonts w:hint="eastAsia" w:ascii="仿宋_GB2312" w:hAnsi="仿宋_GB2312" w:eastAsia="仿宋_GB2312" w:cs="仿宋_GB2312"/>
          <w:color w:val="000000"/>
          <w:sz w:val="28"/>
          <w:szCs w:val="28"/>
        </w:rPr>
        <w:t>《项目支出绩效评价管理办法》（财预〔2020〕10号）和山西省财政厅《省级项目支出绩效评价管理办法》（晋财绩〔2020〕17号）</w:t>
      </w:r>
      <w:r>
        <w:rPr>
          <w:rFonts w:hint="eastAsia" w:ascii="仿宋_GB2312" w:hAnsi="仿宋_GB2312" w:eastAsia="仿宋_GB2312" w:cs="仿宋_GB2312"/>
          <w:sz w:val="28"/>
          <w:szCs w:val="28"/>
          <w:lang w:bidi="zh-CN"/>
        </w:rPr>
        <w:t>文件要求执行</w:t>
      </w:r>
      <w:r>
        <w:rPr>
          <w:rFonts w:hint="eastAsia" w:ascii="仿宋_GB2312" w:hAnsi="仿宋_GB2312" w:eastAsia="仿宋_GB2312" w:cs="仿宋_GB2312"/>
          <w:sz w:val="28"/>
          <w:szCs w:val="28"/>
          <w:lang w:val="zh-CN" w:bidi="zh-CN"/>
        </w:rPr>
        <w:t>，最终确定</w:t>
      </w:r>
      <w:r>
        <w:rPr>
          <w:rFonts w:hint="eastAsia" w:ascii="仿宋_GB2312" w:hAnsi="仿宋_GB2312" w:eastAsia="仿宋_GB2312" w:cs="仿宋_GB2312"/>
          <w:sz w:val="28"/>
          <w:szCs w:val="28"/>
          <w:lang w:bidi="zh-CN"/>
        </w:rPr>
        <w:t>决策</w:t>
      </w:r>
      <w:r>
        <w:rPr>
          <w:rFonts w:hint="eastAsia" w:ascii="仿宋_GB2312" w:hAnsi="仿宋_GB2312" w:eastAsia="仿宋_GB2312" w:cs="仿宋_GB2312"/>
          <w:sz w:val="28"/>
          <w:szCs w:val="28"/>
          <w:lang w:val="zh-CN" w:bidi="zh-CN"/>
        </w:rPr>
        <w:t>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0%，过程类指标权重占比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0%，产出类指标权重占比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0%，效益类指标权重占比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0%。二、三级指标</w:t>
      </w:r>
      <w:r>
        <w:rPr>
          <w:rFonts w:hint="eastAsia" w:ascii="仿宋_GB2312" w:hAnsi="仿宋_GB2312" w:eastAsia="仿宋_GB2312" w:cs="仿宋_GB2312"/>
          <w:sz w:val="28"/>
          <w:szCs w:val="28"/>
          <w:lang w:bidi="zh-CN"/>
        </w:rPr>
        <w:t>权重分值</w:t>
      </w:r>
      <w:r>
        <w:rPr>
          <w:rFonts w:hint="eastAsia" w:ascii="仿宋_GB2312" w:hAnsi="仿宋_GB2312" w:eastAsia="仿宋_GB2312" w:cs="仿宋_GB2312"/>
          <w:sz w:val="28"/>
          <w:szCs w:val="28"/>
          <w:lang w:val="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adjustRightInd w:val="0"/>
        <w:snapToGrid w:val="0"/>
        <w:ind w:firstLine="560"/>
        <w:rPr>
          <w:sz w:val="28"/>
          <w:szCs w:val="28"/>
        </w:rPr>
      </w:pPr>
      <w:bookmarkStart w:id="33" w:name="_Toc245"/>
      <w:r>
        <w:rPr>
          <w:rFonts w:hint="eastAsia" w:ascii="仿宋_GB2312" w:hAnsi="仿宋_GB2312" w:cs="仿宋_GB2312"/>
          <w:sz w:val="28"/>
          <w:szCs w:val="28"/>
        </w:rPr>
        <w:t>3.指标体系具体内容</w:t>
      </w:r>
      <w:bookmarkEnd w:id="33"/>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指标体系由4项一级指标、14项二级指标、19项三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社会效益、经济效益、生态效益、可持续影响、满意度进行考核</w:t>
      </w:r>
      <w:r>
        <w:rPr>
          <w:rFonts w:hint="eastAsia" w:ascii="仿宋_GB2312" w:hAnsi="仿宋_GB2312" w:eastAsia="仿宋_GB2312" w:cs="仿宋_GB2312"/>
          <w:color w:val="000000"/>
          <w:sz w:val="28"/>
          <w:szCs w:val="28"/>
        </w:rPr>
        <w:t>。</w:t>
      </w:r>
    </w:p>
    <w:p>
      <w:pPr>
        <w:pStyle w:val="14"/>
        <w:widowControl/>
        <w:adjustRightInd w:val="0"/>
        <w:snapToGrid w:val="0"/>
        <w:spacing w:before="159" w:beforeLines="50" w:beforeAutospacing="0" w:afterAutospacing="0" w:line="360" w:lineRule="auto"/>
        <w:ind w:firstLine="560" w:firstLineChars="200"/>
        <w:outlineLvl w:val="1"/>
        <w:rPr>
          <w:rFonts w:ascii="楷体_GB2312" w:hAnsi="楷体_GB2312" w:eastAsia="楷体_GB2312" w:cs="楷体_GB2312"/>
          <w:color w:val="000000"/>
          <w:sz w:val="28"/>
          <w:szCs w:val="27"/>
        </w:rPr>
      </w:pPr>
      <w:bookmarkStart w:id="34" w:name="_Toc10984"/>
      <w:bookmarkStart w:id="35" w:name="_Toc21613"/>
      <w:r>
        <w:rPr>
          <w:rFonts w:hint="eastAsia" w:ascii="楷体_GB2312" w:hAnsi="楷体_GB2312" w:eastAsia="楷体_GB2312" w:cs="楷体_GB2312"/>
          <w:color w:val="000000"/>
          <w:sz w:val="28"/>
          <w:szCs w:val="27"/>
        </w:rPr>
        <w:t>（五）绩效评价工作过程</w:t>
      </w:r>
      <w:bookmarkEnd w:id="34"/>
      <w:bookmarkEnd w:id="35"/>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color w:val="000000"/>
          <w:sz w:val="28"/>
          <w:szCs w:val="27"/>
        </w:rPr>
      </w:pPr>
      <w:r>
        <w:rPr>
          <w:rFonts w:hint="eastAsia" w:ascii="仿宋_GB2312" w:hAnsi="仿宋_GB2312" w:eastAsia="仿宋_GB2312" w:cs="仿宋_GB2312"/>
          <w:color w:val="000000"/>
          <w:sz w:val="28"/>
          <w:szCs w:val="27"/>
        </w:rPr>
        <w:t>接收</w:t>
      </w:r>
      <w:r>
        <w:rPr>
          <w:rFonts w:hint="eastAsia" w:ascii="仿宋_GB2312" w:hAnsi="仿宋_GB2312" w:eastAsia="仿宋_GB2312" w:cs="仿宋_GB2312"/>
          <w:sz w:val="28"/>
          <w:szCs w:val="27"/>
        </w:rPr>
        <w:t>宁武县财政局</w:t>
      </w:r>
      <w:r>
        <w:rPr>
          <w:rFonts w:ascii="仿宋_GB2312" w:hAnsi="仿宋_GB2312" w:eastAsia="仿宋_GB2312" w:cs="仿宋_GB2312"/>
          <w:color w:val="000000"/>
          <w:sz w:val="28"/>
          <w:szCs w:val="27"/>
        </w:rPr>
        <w:t>的委托</w:t>
      </w:r>
      <w:r>
        <w:rPr>
          <w:rFonts w:hint="eastAsia" w:ascii="仿宋_GB2312" w:hAnsi="仿宋_GB2312" w:eastAsia="仿宋_GB2312" w:cs="仿宋_GB2312"/>
          <w:color w:val="000000"/>
          <w:sz w:val="28"/>
          <w:szCs w:val="27"/>
        </w:rPr>
        <w:t>后</w:t>
      </w:r>
      <w:r>
        <w:rPr>
          <w:rFonts w:ascii="仿宋_GB2312" w:hAnsi="仿宋_GB2312" w:eastAsia="仿宋_GB2312" w:cs="仿宋_GB2312"/>
          <w:color w:val="000000"/>
          <w:sz w:val="28"/>
          <w:szCs w:val="27"/>
        </w:rPr>
        <w:t>，我公司高度重视，积极筹备，成立项目领导组负责评价过程的协调和督导。</w:t>
      </w:r>
      <w:r>
        <w:rPr>
          <w:rFonts w:hint="eastAsia" w:ascii="仿宋_GB2312" w:hAnsi="仿宋_GB2312" w:eastAsia="仿宋_GB2312" w:cs="仿宋_GB2312"/>
          <w:color w:val="000000"/>
          <w:sz w:val="28"/>
          <w:szCs w:val="27"/>
        </w:rPr>
        <w:t>具体</w:t>
      </w:r>
      <w:r>
        <w:rPr>
          <w:rFonts w:ascii="仿宋_GB2312" w:hAnsi="仿宋_GB2312" w:eastAsia="仿宋_GB2312" w:cs="仿宋_GB2312"/>
          <w:color w:val="000000"/>
          <w:sz w:val="28"/>
          <w:szCs w:val="27"/>
        </w:rPr>
        <w:t>工作分为</w:t>
      </w:r>
      <w:r>
        <w:rPr>
          <w:rFonts w:hint="eastAsia" w:ascii="仿宋_GB2312" w:hAnsi="仿宋_GB2312" w:eastAsia="仿宋_GB2312" w:cs="仿宋_GB2312"/>
          <w:color w:val="000000"/>
          <w:sz w:val="28"/>
          <w:szCs w:val="27"/>
        </w:rPr>
        <w:t>前期</w:t>
      </w:r>
      <w:r>
        <w:rPr>
          <w:rFonts w:ascii="仿宋_GB2312" w:hAnsi="仿宋_GB2312" w:eastAsia="仿宋_GB2312" w:cs="仿宋_GB2312"/>
          <w:color w:val="000000"/>
          <w:sz w:val="28"/>
          <w:szCs w:val="27"/>
        </w:rPr>
        <w:t>准备、</w:t>
      </w:r>
      <w:r>
        <w:rPr>
          <w:rFonts w:hint="eastAsia" w:ascii="仿宋_GB2312" w:hAnsi="仿宋_GB2312" w:eastAsia="仿宋_GB2312" w:cs="仿宋_GB2312"/>
          <w:color w:val="000000"/>
          <w:sz w:val="28"/>
          <w:szCs w:val="27"/>
        </w:rPr>
        <w:t>现场</w:t>
      </w:r>
      <w:r>
        <w:rPr>
          <w:rFonts w:ascii="仿宋_GB2312" w:hAnsi="仿宋_GB2312" w:eastAsia="仿宋_GB2312" w:cs="仿宋_GB2312"/>
          <w:color w:val="000000"/>
          <w:sz w:val="28"/>
          <w:szCs w:val="27"/>
        </w:rPr>
        <w:t>实施、报告撰写三个阶段。</w:t>
      </w:r>
    </w:p>
    <w:p>
      <w:pPr>
        <w:pStyle w:val="14"/>
        <w:widowControl/>
        <w:adjustRightInd w:val="0"/>
        <w:snapToGrid w:val="0"/>
        <w:spacing w:beforeAutospacing="0" w:afterAutospacing="0" w:line="360" w:lineRule="auto"/>
        <w:ind w:firstLine="562" w:firstLineChars="200"/>
        <w:outlineLvl w:val="2"/>
        <w:rPr>
          <w:rFonts w:ascii="仿宋_GB2312" w:hAnsi="仿宋_GB2312" w:eastAsia="仿宋_GB2312" w:cs="仿宋_GB2312"/>
          <w:b/>
          <w:bCs/>
          <w:color w:val="000000"/>
          <w:sz w:val="28"/>
          <w:szCs w:val="27"/>
        </w:rPr>
      </w:pPr>
      <w:bookmarkStart w:id="36" w:name="_Toc567"/>
      <w:r>
        <w:rPr>
          <w:rFonts w:ascii="仿宋_GB2312" w:hAnsi="仿宋_GB2312" w:eastAsia="仿宋_GB2312" w:cs="仿宋_GB2312"/>
          <w:b/>
          <w:bCs/>
          <w:color w:val="000000"/>
          <w:sz w:val="28"/>
          <w:szCs w:val="27"/>
        </w:rPr>
        <w:t>1.评价准备阶段</w:t>
      </w:r>
      <w:bookmarkEnd w:id="36"/>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color w:val="000000"/>
          <w:sz w:val="28"/>
          <w:szCs w:val="27"/>
        </w:rPr>
      </w:pPr>
      <w:r>
        <w:rPr>
          <w:rFonts w:ascii="仿宋_GB2312" w:hAnsi="仿宋_GB2312" w:eastAsia="仿宋_GB2312" w:cs="仿宋_GB2312"/>
          <w:color w:val="000000"/>
          <w:sz w:val="28"/>
          <w:szCs w:val="27"/>
        </w:rPr>
        <w:t>根据山西省《省级项目支出绩效评价管理办法》（晋财绩〔2020〕17号）文件精神和</w:t>
      </w:r>
      <w:r>
        <w:rPr>
          <w:rFonts w:hint="eastAsia" w:ascii="仿宋_GB2312" w:hAnsi="仿宋_GB2312" w:eastAsia="仿宋_GB2312" w:cs="仿宋_GB2312"/>
          <w:color w:val="000000"/>
          <w:sz w:val="28"/>
          <w:szCs w:val="27"/>
        </w:rPr>
        <w:t>《宁武县财政局关于开展2020年度项目支出绩效评价工作的通知》（宁财字〔2020〕13号）</w:t>
      </w:r>
      <w:r>
        <w:rPr>
          <w:rFonts w:ascii="仿宋_GB2312" w:hAnsi="仿宋_GB2312" w:eastAsia="仿宋_GB2312" w:cs="仿宋_GB2312"/>
          <w:color w:val="000000"/>
          <w:sz w:val="28"/>
          <w:szCs w:val="27"/>
        </w:rPr>
        <w:t>要求，明确评价目的和工作思路，联系化</w:t>
      </w:r>
      <w:r>
        <w:rPr>
          <w:rFonts w:ascii="仿宋_GB2312" w:hAnsi="仿宋_GB2312" w:eastAsia="仿宋_GB2312" w:cs="仿宋_GB2312"/>
          <w:sz w:val="28"/>
          <w:szCs w:val="27"/>
        </w:rPr>
        <w:t>北屯乡</w:t>
      </w:r>
      <w:r>
        <w:rPr>
          <w:rFonts w:hint="eastAsia" w:ascii="仿宋_GB2312" w:hAnsi="仿宋_GB2312" w:eastAsia="仿宋_GB2312" w:cs="仿宋_GB2312"/>
          <w:sz w:val="28"/>
          <w:szCs w:val="27"/>
        </w:rPr>
        <w:t>人民政府、养殖企业</w:t>
      </w:r>
      <w:r>
        <w:rPr>
          <w:rFonts w:ascii="仿宋_GB2312" w:hAnsi="仿宋_GB2312" w:eastAsia="仿宋_GB2312" w:cs="仿宋_GB2312"/>
          <w:color w:val="000000"/>
          <w:sz w:val="28"/>
          <w:szCs w:val="27"/>
        </w:rPr>
        <w:t>开展调研，收集相关政策文件和信息资料，编制绩效评价指标体系、评分标准和评价等级。</w:t>
      </w:r>
    </w:p>
    <w:p>
      <w:pPr>
        <w:pStyle w:val="14"/>
        <w:widowControl/>
        <w:adjustRightInd w:val="0"/>
        <w:snapToGrid w:val="0"/>
        <w:spacing w:beforeAutospacing="0" w:afterAutospacing="0" w:line="360" w:lineRule="auto"/>
        <w:ind w:firstLine="562" w:firstLineChars="200"/>
        <w:outlineLvl w:val="2"/>
        <w:rPr>
          <w:rFonts w:ascii="仿宋_GB2312" w:hAnsi="仿宋_GB2312" w:eastAsia="仿宋_GB2312" w:cs="仿宋_GB2312"/>
          <w:b/>
          <w:bCs/>
          <w:color w:val="000000"/>
          <w:sz w:val="28"/>
          <w:szCs w:val="27"/>
        </w:rPr>
      </w:pPr>
      <w:bookmarkStart w:id="37" w:name="_Toc2895"/>
      <w:r>
        <w:rPr>
          <w:rFonts w:ascii="仿宋_GB2312" w:hAnsi="仿宋_GB2312" w:eastAsia="仿宋_GB2312" w:cs="仿宋_GB2312"/>
          <w:b/>
          <w:bCs/>
          <w:color w:val="000000"/>
          <w:sz w:val="28"/>
          <w:szCs w:val="27"/>
        </w:rPr>
        <w:t>2.组织实施阶段</w:t>
      </w:r>
      <w:bookmarkEnd w:id="37"/>
    </w:p>
    <w:p>
      <w:pPr>
        <w:adjustRightInd w:val="0"/>
        <w:snapToGrid w:val="0"/>
        <w:spacing w:line="360" w:lineRule="auto"/>
        <w:ind w:firstLine="560" w:firstLineChars="200"/>
        <w:rPr>
          <w:rFonts w:ascii="仿宋_GB2312" w:hAnsi="仿宋_GB2312" w:eastAsia="仿宋_GB2312" w:cs="仿宋_GB2312"/>
          <w:sz w:val="28"/>
          <w:szCs w:val="36"/>
        </w:rPr>
      </w:pPr>
      <w:bookmarkStart w:id="38" w:name="_Toc32670"/>
      <w:r>
        <w:rPr>
          <w:rFonts w:hint="eastAsia" w:ascii="仿宋_GB2312" w:hAnsi="仿宋_GB2312" w:eastAsia="仿宋_GB2312" w:cs="仿宋_GB2312"/>
          <w:sz w:val="28"/>
          <w:szCs w:val="36"/>
        </w:rPr>
        <w:t>（1）围绕评价指标补充收集相关资料；</w:t>
      </w:r>
      <w:bookmarkEnd w:id="38"/>
    </w:p>
    <w:p>
      <w:pPr>
        <w:adjustRightInd w:val="0"/>
        <w:snapToGrid w:val="0"/>
        <w:spacing w:line="360" w:lineRule="auto"/>
        <w:ind w:firstLine="560" w:firstLineChars="200"/>
        <w:rPr>
          <w:rFonts w:ascii="仿宋_GB2312" w:hAnsi="仿宋_GB2312" w:eastAsia="仿宋_GB2312" w:cs="仿宋_GB2312"/>
          <w:sz w:val="28"/>
          <w:szCs w:val="36"/>
        </w:rPr>
      </w:pPr>
      <w:bookmarkStart w:id="39" w:name="_Toc2125"/>
      <w:r>
        <w:rPr>
          <w:rFonts w:hint="eastAsia" w:ascii="仿宋_GB2312" w:hAnsi="仿宋_GB2312" w:eastAsia="仿宋_GB2312" w:cs="仿宋_GB2312"/>
          <w:sz w:val="28"/>
          <w:szCs w:val="36"/>
        </w:rPr>
        <w:t>（2）现场勘查。根据评价对象的特点和项目单位提供的数据资料，现场勘查项目建设情况及运营情况。</w:t>
      </w:r>
      <w:bookmarkEnd w:id="39"/>
    </w:p>
    <w:p>
      <w:pPr>
        <w:adjustRightInd w:val="0"/>
        <w:snapToGrid w:val="0"/>
        <w:spacing w:line="360" w:lineRule="auto"/>
        <w:ind w:firstLine="560" w:firstLineChars="200"/>
        <w:rPr>
          <w:rFonts w:ascii="仿宋_GB2312" w:hAnsi="仿宋_GB2312" w:eastAsia="仿宋_GB2312" w:cs="仿宋_GB2312"/>
          <w:sz w:val="28"/>
          <w:szCs w:val="36"/>
        </w:rPr>
      </w:pPr>
      <w:bookmarkStart w:id="40" w:name="_Toc8827"/>
      <w:r>
        <w:rPr>
          <w:rFonts w:hint="eastAsia" w:ascii="仿宋_GB2312" w:hAnsi="仿宋_GB2312" w:eastAsia="仿宋_GB2312" w:cs="仿宋_GB2312"/>
          <w:sz w:val="28"/>
          <w:szCs w:val="36"/>
        </w:rPr>
        <w:t>（3）满意度调查。向项目受益群体发放一定数量的满意度调查问卷，汇总受益群体对项目的意见及建议，形成满意度调查问卷分析。</w:t>
      </w:r>
      <w:bookmarkEnd w:id="40"/>
    </w:p>
    <w:p>
      <w:pPr>
        <w:adjustRightInd w:val="0"/>
        <w:snapToGrid w:val="0"/>
        <w:spacing w:line="360" w:lineRule="auto"/>
        <w:ind w:firstLine="560" w:firstLineChars="200"/>
        <w:rPr>
          <w:rFonts w:ascii="仿宋_GB2312" w:hAnsi="仿宋_GB2312" w:eastAsia="仿宋_GB2312" w:cs="仿宋_GB2312"/>
          <w:sz w:val="28"/>
          <w:szCs w:val="28"/>
        </w:rPr>
      </w:pPr>
      <w:bookmarkStart w:id="41" w:name="_Toc6703"/>
      <w:r>
        <w:rPr>
          <w:rFonts w:hint="eastAsia" w:ascii="仿宋_GB2312" w:hAnsi="仿宋_GB2312" w:eastAsia="仿宋_GB2312" w:cs="仿宋_GB2312"/>
          <w:sz w:val="28"/>
          <w:szCs w:val="28"/>
        </w:rPr>
        <w:t>（4）综合评价。根据评价工作方案确定的评价指标、评价权重、评价标准和评价方法，对评价对象的情况进行全面的定量定性分析和综合评价。</w:t>
      </w:r>
      <w:bookmarkEnd w:id="41"/>
    </w:p>
    <w:p>
      <w:pPr>
        <w:pStyle w:val="14"/>
        <w:widowControl/>
        <w:adjustRightInd w:val="0"/>
        <w:snapToGrid w:val="0"/>
        <w:spacing w:beforeAutospacing="0" w:afterAutospacing="0" w:line="360" w:lineRule="auto"/>
        <w:ind w:firstLine="562" w:firstLineChars="200"/>
        <w:outlineLvl w:val="2"/>
        <w:rPr>
          <w:rFonts w:ascii="仿宋_GB2312" w:hAnsi="仿宋_GB2312" w:eastAsia="仿宋_GB2312" w:cs="仿宋_GB2312"/>
          <w:b/>
          <w:bCs/>
          <w:color w:val="000000"/>
          <w:sz w:val="28"/>
          <w:szCs w:val="28"/>
        </w:rPr>
      </w:pPr>
      <w:bookmarkStart w:id="42" w:name="_Toc30607"/>
      <w:bookmarkStart w:id="43" w:name="_Toc15912"/>
      <w:r>
        <w:rPr>
          <w:rFonts w:ascii="仿宋_GB2312" w:hAnsi="仿宋_GB2312" w:eastAsia="仿宋_GB2312" w:cs="仿宋_GB2312"/>
          <w:b/>
          <w:bCs/>
          <w:color w:val="000000"/>
          <w:sz w:val="28"/>
          <w:szCs w:val="28"/>
        </w:rPr>
        <w:t>3.报告撰写阶段</w:t>
      </w:r>
      <w:bookmarkEnd w:id="42"/>
      <w:bookmarkEnd w:id="43"/>
    </w:p>
    <w:p>
      <w:pPr>
        <w:pStyle w:val="14"/>
        <w:widowControl/>
        <w:adjustRightInd w:val="0"/>
        <w:snapToGrid w:val="0"/>
        <w:spacing w:beforeAutospacing="0" w:afterAutospacing="0" w:line="360" w:lineRule="auto"/>
        <w:ind w:firstLine="560" w:firstLineChars="200"/>
        <w:rPr>
          <w:rFonts w:ascii="仿宋_GB2312" w:hAnsi="仿宋_GB2312" w:eastAsia="仿宋_GB2312" w:cs="仿宋_GB2312"/>
          <w:color w:val="000000"/>
          <w:sz w:val="28"/>
          <w:szCs w:val="28"/>
        </w:rPr>
      </w:pPr>
      <w:bookmarkStart w:id="44" w:name="_Toc3178"/>
      <w:r>
        <w:rPr>
          <w:rFonts w:ascii="仿宋_GB2312" w:hAnsi="仿宋_GB2312" w:eastAsia="仿宋_GB2312" w:cs="仿宋_GB2312"/>
          <w:color w:val="000000"/>
          <w:sz w:val="28"/>
          <w:szCs w:val="28"/>
        </w:rPr>
        <w:t>绩效评价组根据被评价单位的绩效情况，按要求撰写评价报告，并根据专家意见进一步完善、修改绩效评价报告，形成</w:t>
      </w:r>
      <w:r>
        <w:rPr>
          <w:rFonts w:hint="eastAsia" w:ascii="仿宋_GB2312" w:hAnsi="仿宋_GB2312" w:eastAsia="仿宋_GB2312" w:cs="仿宋_GB2312"/>
          <w:color w:val="000000"/>
          <w:sz w:val="28"/>
          <w:szCs w:val="28"/>
        </w:rPr>
        <w:t>报告提交报送委托评价单位。</w:t>
      </w:r>
      <w:bookmarkEnd w:id="44"/>
    </w:p>
    <w:p>
      <w:pPr>
        <w:pStyle w:val="14"/>
        <w:widowControl/>
        <w:adjustRightInd w:val="0"/>
        <w:snapToGrid w:val="0"/>
        <w:spacing w:beforeAutospacing="0" w:afterAutospacing="0" w:line="360" w:lineRule="auto"/>
        <w:ind w:firstLine="560" w:firstLineChars="200"/>
        <w:outlineLvl w:val="0"/>
        <w:rPr>
          <w:rFonts w:ascii="黑体" w:hAnsi="黑体" w:eastAsia="黑体" w:cs="黑体"/>
          <w:color w:val="000000"/>
          <w:sz w:val="28"/>
          <w:szCs w:val="28"/>
        </w:rPr>
      </w:pPr>
      <w:bookmarkStart w:id="45" w:name="_Toc2475"/>
      <w:bookmarkStart w:id="46" w:name="_Toc19030"/>
      <w:r>
        <w:rPr>
          <w:rFonts w:hint="eastAsia" w:ascii="黑体" w:hAnsi="黑体" w:eastAsia="黑体" w:cs="黑体"/>
          <w:color w:val="000000"/>
          <w:sz w:val="28"/>
          <w:szCs w:val="28"/>
        </w:rPr>
        <w:t>三、综合评价情况及评价结论</w:t>
      </w:r>
      <w:bookmarkEnd w:id="45"/>
      <w:bookmarkEnd w:id="46"/>
    </w:p>
    <w:p>
      <w:pPr>
        <w:pStyle w:val="5"/>
        <w:adjustRightInd w:val="0"/>
        <w:snapToGrid w:val="0"/>
        <w:spacing w:line="360" w:lineRule="auto"/>
        <w:ind w:firstLine="560" w:firstLineChars="200"/>
        <w:rPr>
          <w:sz w:val="28"/>
          <w:szCs w:val="28"/>
        </w:rPr>
      </w:pPr>
      <w:bookmarkStart w:id="47" w:name="_Toc20395"/>
      <w:r>
        <w:rPr>
          <w:rFonts w:hint="eastAsia"/>
          <w:sz w:val="28"/>
          <w:szCs w:val="28"/>
        </w:rPr>
        <w:t>（一）综合评价情况</w:t>
      </w:r>
      <w:bookmarkEnd w:id="47"/>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化北屯乡2020年统筹整合资金绩效评价综合得分91.91分。评价等级为“优”。其中决策类指标得19分，过程类指标得18分，产出类指标得24.91分，效益类指标得30分。具体项目绩效得分见表3-1。</w:t>
      </w:r>
    </w:p>
    <w:p>
      <w:pPr>
        <w:adjustRightInd w:val="0"/>
        <w:snapToGrid w:val="0"/>
        <w:spacing w:before="159" w:beforeLines="50" w:after="159" w:afterLines="50"/>
        <w:jc w:val="center"/>
        <w:rPr>
          <w:rFonts w:ascii="宋体" w:hAnsi="宋体" w:eastAsia="宋体" w:cs="宋体"/>
        </w:rPr>
      </w:pPr>
      <w:r>
        <w:rPr>
          <w:rFonts w:hint="eastAsia" w:ascii="宋体" w:hAnsi="宋体" w:eastAsia="宋体" w:cs="宋体"/>
          <w:sz w:val="28"/>
          <w:szCs w:val="36"/>
        </w:rPr>
        <w:t>表3-1 项目总体绩效评价评分表</w:t>
      </w:r>
    </w:p>
    <w:tbl>
      <w:tblPr>
        <w:tblStyle w:val="15"/>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jc w:val="center"/>
              <w:rPr>
                <w:rFonts w:ascii="宋体" w:hAnsi="宋体" w:eastAsia="宋体" w:cs="宋体"/>
                <w:b/>
                <w:bCs/>
                <w:sz w:val="24"/>
              </w:rPr>
            </w:pPr>
            <w:r>
              <w:rPr>
                <w:rFonts w:hint="eastAsia" w:ascii="宋体" w:hAnsi="宋体" w:eastAsia="宋体" w:cs="宋体"/>
                <w:b/>
                <w:bCs/>
                <w:sz w:val="24"/>
              </w:rPr>
              <w:t>一级指标</w:t>
            </w:r>
          </w:p>
        </w:tc>
        <w:tc>
          <w:tcPr>
            <w:tcW w:w="2154" w:type="dxa"/>
            <w:tcBorders>
              <w:top w:val="double" w:color="auto" w:sz="4" w:space="0"/>
            </w:tcBorders>
            <w:shd w:val="clear" w:color="auto" w:fill="BEBEBE" w:themeFill="background1" w:themeFillShade="BF"/>
            <w:vAlign w:val="center"/>
          </w:tcPr>
          <w:p>
            <w:pPr>
              <w:jc w:val="center"/>
              <w:rPr>
                <w:rFonts w:ascii="宋体" w:hAnsi="宋体" w:eastAsia="宋体" w:cs="宋体"/>
                <w:b/>
                <w:bCs/>
                <w:sz w:val="24"/>
              </w:rPr>
            </w:pPr>
            <w:r>
              <w:rPr>
                <w:rFonts w:hint="eastAsia" w:ascii="宋体" w:hAnsi="宋体" w:eastAsia="宋体" w:cs="宋体"/>
                <w:b/>
                <w:bCs/>
                <w:sz w:val="24"/>
              </w:rPr>
              <w:t>权重</w:t>
            </w:r>
          </w:p>
        </w:tc>
        <w:tc>
          <w:tcPr>
            <w:tcW w:w="2154" w:type="dxa"/>
            <w:tcBorders>
              <w:top w:val="double" w:color="auto" w:sz="4" w:space="0"/>
            </w:tcBorders>
            <w:shd w:val="clear" w:color="auto" w:fill="BEBEBE" w:themeFill="background1" w:themeFillShade="BF"/>
            <w:vAlign w:val="center"/>
          </w:tcPr>
          <w:p>
            <w:pPr>
              <w:jc w:val="center"/>
              <w:rPr>
                <w:rFonts w:ascii="宋体" w:hAnsi="宋体" w:eastAsia="宋体" w:cs="宋体"/>
                <w:b/>
                <w:bCs/>
                <w:sz w:val="24"/>
              </w:rPr>
            </w:pPr>
            <w:r>
              <w:rPr>
                <w:rFonts w:hint="eastAsia" w:ascii="宋体" w:hAnsi="宋体" w:eastAsia="宋体" w:cs="宋体"/>
                <w:b/>
                <w:bCs/>
                <w:sz w:val="24"/>
              </w:rPr>
              <w:t>得分</w:t>
            </w:r>
          </w:p>
        </w:tc>
        <w:tc>
          <w:tcPr>
            <w:tcW w:w="2154" w:type="dxa"/>
            <w:tcBorders>
              <w:top w:val="double" w:color="auto" w:sz="4" w:space="0"/>
              <w:right w:val="nil"/>
            </w:tcBorders>
            <w:shd w:val="clear" w:color="auto" w:fill="BEBEBE" w:themeFill="background1" w:themeFillShade="BF"/>
            <w:vAlign w:val="center"/>
          </w:tcPr>
          <w:p>
            <w:pPr>
              <w:jc w:val="center"/>
              <w:rPr>
                <w:rFonts w:ascii="宋体" w:hAnsi="宋体" w:eastAsia="宋体" w:cs="宋体"/>
                <w:b/>
                <w:bCs/>
                <w:sz w:val="24"/>
              </w:rPr>
            </w:pPr>
            <w:r>
              <w:rPr>
                <w:rFonts w:hint="eastAsia" w:ascii="宋体" w:hAnsi="宋体" w:eastAsia="宋体" w:cs="宋体"/>
                <w:b/>
                <w:bCs/>
                <w:sz w:val="24"/>
              </w:rPr>
              <w:t>得分率（100%）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jc w:val="center"/>
              <w:rPr>
                <w:rFonts w:ascii="宋体" w:hAnsi="宋体" w:eastAsia="宋体" w:cs="宋体"/>
                <w:sz w:val="24"/>
              </w:rPr>
            </w:pPr>
            <w:r>
              <w:rPr>
                <w:rFonts w:hint="eastAsia" w:ascii="宋体" w:hAnsi="宋体" w:eastAsia="宋体" w:cs="宋体"/>
                <w:sz w:val="24"/>
              </w:rPr>
              <w:t>决策</w:t>
            </w:r>
          </w:p>
        </w:tc>
        <w:tc>
          <w:tcPr>
            <w:tcW w:w="2154" w:type="dxa"/>
            <w:vAlign w:val="center"/>
          </w:tcPr>
          <w:p>
            <w:pPr>
              <w:jc w:val="center"/>
              <w:rPr>
                <w:rFonts w:ascii="宋体" w:hAnsi="宋体" w:eastAsia="宋体" w:cs="宋体"/>
                <w:sz w:val="24"/>
              </w:rPr>
            </w:pPr>
            <w:r>
              <w:rPr>
                <w:rFonts w:hint="eastAsia" w:ascii="宋体" w:hAnsi="宋体" w:eastAsia="宋体" w:cs="宋体"/>
                <w:sz w:val="24"/>
                <w:lang w:bidi="ar"/>
              </w:rPr>
              <w:t>20</w:t>
            </w:r>
          </w:p>
        </w:tc>
        <w:tc>
          <w:tcPr>
            <w:tcW w:w="2154" w:type="dxa"/>
            <w:vAlign w:val="center"/>
          </w:tcPr>
          <w:p>
            <w:pPr>
              <w:jc w:val="center"/>
              <w:rPr>
                <w:rFonts w:ascii="宋体" w:hAnsi="宋体" w:eastAsia="宋体" w:cs="宋体"/>
                <w:sz w:val="24"/>
              </w:rPr>
            </w:pPr>
            <w:r>
              <w:rPr>
                <w:rFonts w:hint="eastAsia" w:ascii="宋体" w:hAnsi="宋体" w:eastAsia="宋体" w:cs="宋体"/>
                <w:sz w:val="24"/>
              </w:rPr>
              <w:t>19</w:t>
            </w:r>
          </w:p>
        </w:tc>
        <w:tc>
          <w:tcPr>
            <w:tcW w:w="2154" w:type="dxa"/>
            <w:tcBorders>
              <w:right w:val="nil"/>
            </w:tcBorders>
            <w:vAlign w:val="center"/>
          </w:tcPr>
          <w:p>
            <w:pPr>
              <w:widowControl/>
              <w:jc w:val="center"/>
              <w:textAlignment w:val="center"/>
              <w:rPr>
                <w:rFonts w:ascii="宋体" w:hAnsi="宋体" w:eastAsia="宋体" w:cs="宋体"/>
                <w:sz w:val="24"/>
              </w:rPr>
            </w:pPr>
            <w:r>
              <w:rPr>
                <w:rFonts w:hint="eastAsia" w:ascii="宋体" w:hAnsi="宋体" w:eastAsia="宋体" w:cs="宋体"/>
                <w:sz w:val="24"/>
              </w:rPr>
              <w:t>95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jc w:val="center"/>
              <w:rPr>
                <w:rFonts w:ascii="宋体" w:hAnsi="宋体" w:eastAsia="宋体" w:cs="宋体"/>
                <w:sz w:val="24"/>
              </w:rPr>
            </w:pPr>
            <w:r>
              <w:rPr>
                <w:rFonts w:hint="eastAsia" w:ascii="宋体" w:hAnsi="宋体" w:eastAsia="宋体" w:cs="宋体"/>
                <w:sz w:val="24"/>
              </w:rPr>
              <w:t>过程</w:t>
            </w:r>
          </w:p>
        </w:tc>
        <w:tc>
          <w:tcPr>
            <w:tcW w:w="2154" w:type="dxa"/>
            <w:vAlign w:val="center"/>
          </w:tcPr>
          <w:p>
            <w:pPr>
              <w:jc w:val="center"/>
              <w:rPr>
                <w:rFonts w:ascii="宋体" w:hAnsi="宋体" w:eastAsia="宋体" w:cs="宋体"/>
                <w:sz w:val="24"/>
              </w:rPr>
            </w:pPr>
            <w:r>
              <w:rPr>
                <w:rFonts w:hint="eastAsia" w:ascii="宋体" w:hAnsi="宋体" w:eastAsia="宋体" w:cs="宋体"/>
                <w:sz w:val="24"/>
                <w:lang w:bidi="ar"/>
              </w:rPr>
              <w:t>20</w:t>
            </w:r>
          </w:p>
        </w:tc>
        <w:tc>
          <w:tcPr>
            <w:tcW w:w="2154" w:type="dxa"/>
            <w:vAlign w:val="center"/>
          </w:tcPr>
          <w:p>
            <w:pPr>
              <w:jc w:val="center"/>
              <w:rPr>
                <w:rFonts w:ascii="宋体" w:hAnsi="宋体" w:eastAsia="宋体" w:cs="宋体"/>
                <w:sz w:val="24"/>
              </w:rPr>
            </w:pPr>
            <w:r>
              <w:rPr>
                <w:rFonts w:hint="eastAsia" w:ascii="宋体" w:hAnsi="宋体" w:eastAsia="宋体" w:cs="宋体"/>
                <w:sz w:val="24"/>
              </w:rPr>
              <w:t>18</w:t>
            </w:r>
          </w:p>
        </w:tc>
        <w:tc>
          <w:tcPr>
            <w:tcW w:w="2154" w:type="dxa"/>
            <w:tcBorders>
              <w:right w:val="nil"/>
            </w:tcBorders>
            <w:vAlign w:val="center"/>
          </w:tcPr>
          <w:p>
            <w:pPr>
              <w:widowControl/>
              <w:jc w:val="center"/>
              <w:textAlignment w:val="center"/>
              <w:rPr>
                <w:rFonts w:ascii="宋体" w:hAnsi="宋体" w:eastAsia="宋体" w:cs="宋体"/>
                <w:sz w:val="24"/>
              </w:rPr>
            </w:pPr>
            <w:r>
              <w:rPr>
                <w:rFonts w:hint="eastAsia" w:ascii="宋体" w:hAnsi="宋体" w:eastAsia="宋体" w:cs="宋体"/>
                <w:color w:val="000000"/>
                <w:kern w:val="0"/>
                <w:sz w:val="24"/>
                <w:lang w:bidi="ar"/>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jc w:val="center"/>
              <w:rPr>
                <w:rFonts w:ascii="宋体" w:hAnsi="宋体" w:eastAsia="宋体" w:cs="宋体"/>
                <w:sz w:val="24"/>
              </w:rPr>
            </w:pPr>
            <w:r>
              <w:rPr>
                <w:rFonts w:hint="eastAsia" w:ascii="宋体" w:hAnsi="宋体" w:eastAsia="宋体" w:cs="宋体"/>
                <w:sz w:val="24"/>
              </w:rPr>
              <w:t>产出</w:t>
            </w:r>
          </w:p>
        </w:tc>
        <w:tc>
          <w:tcPr>
            <w:tcW w:w="2154" w:type="dxa"/>
            <w:vAlign w:val="center"/>
          </w:tcPr>
          <w:p>
            <w:pPr>
              <w:jc w:val="center"/>
              <w:rPr>
                <w:rFonts w:ascii="宋体" w:hAnsi="宋体" w:eastAsia="宋体" w:cs="宋体"/>
                <w:sz w:val="24"/>
              </w:rPr>
            </w:pPr>
            <w:r>
              <w:rPr>
                <w:rFonts w:hint="eastAsia" w:ascii="宋体" w:hAnsi="宋体" w:eastAsia="宋体" w:cs="宋体"/>
                <w:sz w:val="24"/>
              </w:rPr>
              <w:t>30</w:t>
            </w:r>
          </w:p>
        </w:tc>
        <w:tc>
          <w:tcPr>
            <w:tcW w:w="2154" w:type="dxa"/>
            <w:vAlign w:val="center"/>
          </w:tcPr>
          <w:p>
            <w:pPr>
              <w:jc w:val="center"/>
              <w:rPr>
                <w:rFonts w:ascii="宋体" w:hAnsi="宋体" w:eastAsia="宋体" w:cs="宋体"/>
                <w:sz w:val="24"/>
              </w:rPr>
            </w:pPr>
            <w:r>
              <w:rPr>
                <w:rFonts w:hint="eastAsia" w:ascii="宋体" w:hAnsi="宋体" w:eastAsia="宋体" w:cs="宋体"/>
                <w:sz w:val="24"/>
              </w:rPr>
              <w:t>24.91</w:t>
            </w:r>
          </w:p>
        </w:tc>
        <w:tc>
          <w:tcPr>
            <w:tcW w:w="2154" w:type="dxa"/>
            <w:tcBorders>
              <w:right w:val="nil"/>
            </w:tcBorders>
            <w:vAlign w:val="center"/>
          </w:tcPr>
          <w:p>
            <w:pPr>
              <w:widowControl/>
              <w:jc w:val="center"/>
              <w:textAlignment w:val="center"/>
              <w:rPr>
                <w:rFonts w:ascii="宋体" w:hAnsi="宋体" w:eastAsia="宋体" w:cs="宋体"/>
                <w:sz w:val="24"/>
              </w:rPr>
            </w:pPr>
            <w:r>
              <w:rPr>
                <w:rFonts w:hint="eastAsia" w:ascii="宋体" w:hAnsi="宋体" w:eastAsia="宋体" w:cs="宋体"/>
                <w:sz w:val="24"/>
              </w:rPr>
              <w:t>83.03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ind w:firstLine="720" w:firstLineChars="300"/>
              <w:rPr>
                <w:rFonts w:ascii="宋体" w:hAnsi="宋体" w:eastAsia="宋体" w:cs="宋体"/>
                <w:sz w:val="24"/>
              </w:rPr>
            </w:pPr>
            <w:r>
              <w:rPr>
                <w:rFonts w:hint="eastAsia" w:ascii="宋体" w:hAnsi="宋体" w:eastAsia="宋体" w:cs="宋体"/>
                <w:sz w:val="24"/>
              </w:rPr>
              <w:t>效益</w:t>
            </w:r>
          </w:p>
        </w:tc>
        <w:tc>
          <w:tcPr>
            <w:tcW w:w="2154" w:type="dxa"/>
            <w:vAlign w:val="center"/>
          </w:tcPr>
          <w:p>
            <w:pPr>
              <w:jc w:val="center"/>
              <w:rPr>
                <w:rFonts w:ascii="宋体" w:hAnsi="宋体" w:eastAsia="宋体" w:cs="宋体"/>
                <w:sz w:val="24"/>
              </w:rPr>
            </w:pPr>
            <w:r>
              <w:rPr>
                <w:rFonts w:hint="eastAsia" w:ascii="宋体" w:hAnsi="宋体" w:eastAsia="宋体" w:cs="宋体"/>
                <w:sz w:val="24"/>
              </w:rPr>
              <w:t>30</w:t>
            </w:r>
          </w:p>
        </w:tc>
        <w:tc>
          <w:tcPr>
            <w:tcW w:w="2154" w:type="dxa"/>
            <w:vAlign w:val="center"/>
          </w:tcPr>
          <w:p>
            <w:pPr>
              <w:jc w:val="center"/>
              <w:rPr>
                <w:rFonts w:ascii="宋体" w:hAnsi="宋体" w:eastAsia="宋体" w:cs="宋体"/>
                <w:sz w:val="24"/>
              </w:rPr>
            </w:pPr>
            <w:r>
              <w:rPr>
                <w:rFonts w:hint="eastAsia" w:ascii="宋体" w:hAnsi="宋体" w:eastAsia="宋体" w:cs="宋体"/>
                <w:sz w:val="24"/>
              </w:rPr>
              <w:t>30</w:t>
            </w:r>
          </w:p>
        </w:tc>
        <w:tc>
          <w:tcPr>
            <w:tcW w:w="2154" w:type="dxa"/>
            <w:tcBorders>
              <w:right w:val="nil"/>
            </w:tcBorders>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100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jc w:val="center"/>
              <w:rPr>
                <w:rFonts w:ascii="宋体" w:hAnsi="宋体" w:eastAsia="宋体" w:cs="宋体"/>
                <w:sz w:val="24"/>
              </w:rPr>
            </w:pPr>
            <w:r>
              <w:rPr>
                <w:rFonts w:hint="eastAsia" w:ascii="宋体" w:hAnsi="宋体" w:eastAsia="宋体" w:cs="宋体"/>
                <w:sz w:val="24"/>
              </w:rPr>
              <w:t>合计</w:t>
            </w:r>
          </w:p>
        </w:tc>
        <w:tc>
          <w:tcPr>
            <w:tcW w:w="2154" w:type="dxa"/>
            <w:tcBorders>
              <w:bottom w:val="double" w:color="auto" w:sz="4" w:space="0"/>
            </w:tcBorders>
            <w:vAlign w:val="center"/>
          </w:tcPr>
          <w:p>
            <w:pPr>
              <w:jc w:val="center"/>
              <w:rPr>
                <w:rFonts w:ascii="宋体" w:hAnsi="宋体" w:eastAsia="宋体" w:cs="宋体"/>
                <w:sz w:val="24"/>
              </w:rPr>
            </w:pPr>
            <w:r>
              <w:rPr>
                <w:rFonts w:hint="eastAsia" w:ascii="宋体" w:hAnsi="宋体" w:eastAsia="宋体" w:cs="宋体"/>
                <w:sz w:val="24"/>
                <w:lang w:bidi="ar"/>
              </w:rPr>
              <w:t>100</w:t>
            </w:r>
          </w:p>
        </w:tc>
        <w:tc>
          <w:tcPr>
            <w:tcW w:w="2154" w:type="dxa"/>
            <w:tcBorders>
              <w:bottom w:val="double" w:color="auto" w:sz="4" w:space="0"/>
            </w:tcBorders>
            <w:vAlign w:val="center"/>
          </w:tcPr>
          <w:p>
            <w:pPr>
              <w:jc w:val="center"/>
              <w:rPr>
                <w:rFonts w:ascii="宋体" w:hAnsi="宋体" w:eastAsia="宋体" w:cs="宋体"/>
                <w:sz w:val="24"/>
              </w:rPr>
            </w:pPr>
            <w:r>
              <w:rPr>
                <w:rFonts w:ascii="宋体" w:hAnsi="宋体" w:eastAsia="宋体" w:cs="宋体"/>
                <w:sz w:val="24"/>
              </w:rPr>
              <w:fldChar w:fldCharType="begin"/>
            </w:r>
            <w:r>
              <w:rPr>
                <w:rFonts w:ascii="宋体" w:hAnsi="宋体" w:eastAsia="宋体" w:cs="宋体"/>
                <w:sz w:val="24"/>
              </w:rPr>
              <w:instrText xml:space="preserve"> =SUM(ABOVE) \* MERGEFORMAT </w:instrText>
            </w:r>
            <w:r>
              <w:rPr>
                <w:rFonts w:ascii="宋体" w:hAnsi="宋体" w:eastAsia="宋体" w:cs="宋体"/>
                <w:sz w:val="24"/>
              </w:rPr>
              <w:fldChar w:fldCharType="separate"/>
            </w:r>
            <w:r>
              <w:rPr>
                <w:rFonts w:ascii="宋体" w:hAnsi="宋体" w:eastAsia="宋体" w:cs="宋体"/>
                <w:sz w:val="24"/>
              </w:rPr>
              <w:t>91.91</w:t>
            </w:r>
            <w:r>
              <w:rPr>
                <w:rFonts w:ascii="宋体" w:hAnsi="宋体" w:eastAsia="宋体" w:cs="宋体"/>
                <w:sz w:val="24"/>
              </w:rPr>
              <w:fldChar w:fldCharType="end"/>
            </w:r>
          </w:p>
        </w:tc>
        <w:tc>
          <w:tcPr>
            <w:tcW w:w="2154" w:type="dxa"/>
            <w:tcBorders>
              <w:bottom w:val="double" w:color="auto" w:sz="4" w:space="0"/>
              <w:right w:val="nil"/>
            </w:tcBorders>
            <w:vAlign w:val="center"/>
          </w:tcPr>
          <w:p>
            <w:pPr>
              <w:widowControl/>
              <w:jc w:val="center"/>
              <w:textAlignment w:val="center"/>
              <w:rPr>
                <w:rFonts w:ascii="宋体" w:hAnsi="宋体" w:eastAsia="宋体" w:cs="宋体"/>
                <w:sz w:val="24"/>
              </w:rPr>
            </w:pPr>
            <w:r>
              <w:rPr>
                <w:rFonts w:ascii="宋体" w:hAnsi="宋体" w:eastAsia="宋体" w:cs="宋体"/>
                <w:sz w:val="24"/>
              </w:rPr>
              <w:fldChar w:fldCharType="begin"/>
            </w:r>
            <w:r>
              <w:rPr>
                <w:rFonts w:ascii="宋体" w:hAnsi="宋体" w:eastAsia="宋体" w:cs="宋体"/>
                <w:sz w:val="24"/>
              </w:rPr>
              <w:instrText xml:space="preserve"> =SUM(ABOVE) \* MERGEFORMAT </w:instrText>
            </w:r>
            <w:r>
              <w:rPr>
                <w:rFonts w:ascii="宋体" w:hAnsi="宋体" w:eastAsia="宋体" w:cs="宋体"/>
                <w:sz w:val="24"/>
              </w:rPr>
              <w:fldChar w:fldCharType="separate"/>
            </w:r>
            <w:r>
              <w:rPr>
                <w:rFonts w:ascii="宋体" w:hAnsi="宋体" w:eastAsia="宋体" w:cs="宋体"/>
                <w:sz w:val="24"/>
              </w:rPr>
              <w:t>91.91</w:t>
            </w:r>
            <w:r>
              <w:rPr>
                <w:rFonts w:ascii="宋体" w:hAnsi="宋体" w:eastAsia="宋体" w:cs="宋体"/>
                <w:sz w:val="24"/>
              </w:rPr>
              <w:fldChar w:fldCharType="end"/>
            </w:r>
          </w:p>
        </w:tc>
      </w:tr>
    </w:tbl>
    <w:p>
      <w:pPr>
        <w:pStyle w:val="5"/>
        <w:adjustRightInd w:val="0"/>
        <w:snapToGrid w:val="0"/>
        <w:spacing w:before="159" w:beforeLines="50" w:line="360" w:lineRule="auto"/>
        <w:ind w:firstLine="560" w:firstLineChars="200"/>
        <w:rPr>
          <w:sz w:val="28"/>
          <w:szCs w:val="36"/>
        </w:rPr>
      </w:pPr>
      <w:bookmarkStart w:id="48" w:name="_Toc17924"/>
      <w:r>
        <w:rPr>
          <w:rFonts w:hint="eastAsia"/>
          <w:sz w:val="28"/>
          <w:szCs w:val="36"/>
        </w:rPr>
        <w:t>（二）评价结论</w:t>
      </w:r>
      <w:bookmarkEnd w:id="48"/>
    </w:p>
    <w:p>
      <w:pPr>
        <w:pStyle w:val="2"/>
        <w:adjustRightInd w:val="0"/>
        <w:snapToGrid w:val="0"/>
        <w:spacing w:before="0"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从现场调研情况看，项目基本按照计划完成了年度工作任务，宁武县化北屯乡生猪养殖场建设补助项目立项依据充分，过程管理较为规范。项目资金专款专用，资金拨付程序和手续较完善，通过对养殖企业扶持进一步完善了养殖场基础设施，推动了产业发展，带动了贫困户增收，巩固了脱贫攻坚工作成果。但项目绩效管理方面存在一些困难和问题，如：绩效管理有关基础性工作不够规范，未能按照绩效目标管理有关要求合理设置项目绩效目标，绩效指标设定的相关性和可计量性不足，不利于达到预期效果，不便于考评工作开展。</w:t>
      </w:r>
    </w:p>
    <w:p>
      <w:pPr>
        <w:pStyle w:val="14"/>
        <w:widowControl/>
        <w:adjustRightInd w:val="0"/>
        <w:snapToGrid w:val="0"/>
        <w:spacing w:beforeAutospacing="0" w:afterAutospacing="0" w:line="360" w:lineRule="auto"/>
        <w:ind w:firstLine="560" w:firstLineChars="200"/>
        <w:outlineLvl w:val="0"/>
        <w:rPr>
          <w:rFonts w:ascii="黑体" w:hAnsi="黑体" w:eastAsia="黑体" w:cs="黑体"/>
          <w:color w:val="000000"/>
          <w:sz w:val="28"/>
          <w:szCs w:val="27"/>
        </w:rPr>
      </w:pPr>
      <w:bookmarkStart w:id="49" w:name="_Toc13119"/>
      <w:bookmarkStart w:id="50" w:name="_Toc19955"/>
      <w:r>
        <w:rPr>
          <w:rFonts w:hint="eastAsia" w:ascii="黑体" w:hAnsi="黑体" w:eastAsia="黑体" w:cs="黑体"/>
          <w:color w:val="000000"/>
          <w:sz w:val="28"/>
          <w:szCs w:val="27"/>
        </w:rPr>
        <w:t>四、存在的问题</w:t>
      </w:r>
      <w:bookmarkEnd w:id="49"/>
      <w:bookmarkEnd w:id="50"/>
    </w:p>
    <w:p>
      <w:pPr>
        <w:adjustRightInd w:val="0"/>
        <w:snapToGrid w:val="0"/>
        <w:spacing w:line="360" w:lineRule="auto"/>
        <w:ind w:firstLine="560" w:firstLineChars="200"/>
        <w:outlineLvl w:val="1"/>
        <w:rPr>
          <w:rFonts w:ascii="仿宋_GB2312" w:hAnsi="仿宋_GB2312" w:eastAsia="仿宋_GB2312" w:cs="仿宋_GB2312"/>
          <w:sz w:val="28"/>
          <w:szCs w:val="28"/>
        </w:rPr>
      </w:pPr>
      <w:bookmarkStart w:id="51" w:name="_Toc29821"/>
      <w:r>
        <w:rPr>
          <w:rFonts w:hint="eastAsia" w:ascii="仿宋_GB2312" w:hAnsi="仿宋_GB2312" w:eastAsia="仿宋_GB2312" w:cs="仿宋_GB2312"/>
          <w:sz w:val="28"/>
          <w:szCs w:val="28"/>
        </w:rPr>
        <w:t>项目绩效管理意识淡薄</w:t>
      </w:r>
      <w:bookmarkEnd w:id="51"/>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rPr>
        <w:t>绩效目标管理是全过程预算绩效管理的源头和出发点，既是安排预算的前置条件，也是预算执行中开展绩效监控、预算执行后实施绩效评价的重要依据，通过核查发现，</w:t>
      </w:r>
      <w:r>
        <w:rPr>
          <w:rFonts w:hint="eastAsia" w:ascii="仿宋_GB2312" w:hAnsi="仿宋_GB2312" w:eastAsia="仿宋_GB2312" w:cs="仿宋_GB2312"/>
          <w:sz w:val="28"/>
          <w:szCs w:val="28"/>
        </w:rPr>
        <w:t>绩效管理有关基础性工作不够规范，未能按照绩效目标管理有关要求合理设置项目绩效目标，绩效指标设定的相关性和可计量性不足，不利于达到预期效果，不便于考评工作开展。</w:t>
      </w:r>
    </w:p>
    <w:p>
      <w:pPr>
        <w:pStyle w:val="14"/>
        <w:widowControl/>
        <w:adjustRightInd w:val="0"/>
        <w:snapToGrid w:val="0"/>
        <w:spacing w:beforeAutospacing="0" w:afterAutospacing="0" w:line="360" w:lineRule="auto"/>
        <w:ind w:firstLine="560" w:firstLineChars="200"/>
        <w:outlineLvl w:val="0"/>
        <w:rPr>
          <w:rFonts w:ascii="黑体" w:hAnsi="黑体" w:eastAsia="黑体" w:cs="黑体"/>
          <w:color w:val="000000"/>
          <w:sz w:val="28"/>
          <w:szCs w:val="27"/>
        </w:rPr>
      </w:pPr>
      <w:bookmarkStart w:id="52" w:name="_Toc16500"/>
      <w:bookmarkStart w:id="53" w:name="_Toc9022"/>
      <w:r>
        <w:rPr>
          <w:rFonts w:hint="eastAsia" w:ascii="黑体" w:hAnsi="黑体" w:eastAsia="黑体" w:cs="黑体"/>
          <w:color w:val="000000"/>
          <w:sz w:val="28"/>
          <w:szCs w:val="27"/>
        </w:rPr>
        <w:t>五、有关建议</w:t>
      </w:r>
      <w:bookmarkEnd w:id="52"/>
      <w:bookmarkEnd w:id="53"/>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强化财政资金绩效管理的意识，</w:t>
      </w:r>
      <w:r>
        <w:rPr>
          <w:rFonts w:hint="eastAsia" w:ascii="仿宋_GB2312" w:hAnsi="仿宋_GB2312" w:eastAsia="仿宋_GB2312" w:cs="仿宋_GB2312"/>
          <w:color w:val="000000"/>
          <w:kern w:val="0"/>
          <w:sz w:val="28"/>
          <w:szCs w:val="28"/>
        </w:rPr>
        <w:t>完善项目绩效目标和绩效指标的设置，加强对绩效目标与指标的理解，应依据项目支出的功能特性，通过收集上年度相关基准数据，预计项目实施在一定时期内所要达到的总体产出和效果，结合具体工作总体目标，确定项目资金所要实现的总体目标，并根据从中概括、提炼出最能反映总体目标预期实现程度的关键性指标。同时，在目标设定时要更加注重指向明确、细化量化、合理可行和相应匹配的四大要求，提高预算绩效目标管理的科学性和有效性，为后续预算绩效管理工作提供基础保障。</w:t>
      </w:r>
    </w:p>
    <w:p>
      <w:pPr>
        <w:pStyle w:val="2"/>
      </w:pPr>
    </w:p>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adjustRightInd w:val="0"/>
        <w:snapToGrid w:val="0"/>
        <w:spacing w:before="200" w:after="200" w:line="20" w:lineRule="exact"/>
        <w:outlineLvl w:val="0"/>
        <w:rPr>
          <w:rFonts w:hint="eastAsia" w:ascii="仿宋_GB2312" w:hAnsi="仿宋_GB2312" w:eastAsia="仿宋_GB2312" w:cs="仿宋_GB2312"/>
          <w:sz w:val="28"/>
          <w:szCs w:val="28"/>
        </w:rPr>
      </w:pPr>
    </w:p>
    <w:sectPr>
      <w:headerReference r:id="rId6" w:type="first"/>
      <w:footerReference r:id="rId7" w:type="first"/>
      <w:headerReference r:id="rId5" w:type="default"/>
      <w:pgSz w:w="11906" w:h="16838"/>
      <w:pgMar w:top="2041" w:right="1417" w:bottom="1417" w:left="1531" w:header="851" w:footer="850"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24"/>
        <w:szCs w:val="24"/>
      </w:rPr>
      <w:id w:val="-1883552334"/>
      <w:docPartObj>
        <w:docPartGallery w:val="autotext"/>
      </w:docPartObj>
    </w:sdtPr>
    <w:sdtEndPr>
      <w:rPr>
        <w:rFonts w:hint="eastAsia" w:ascii="仿宋_GB2312" w:hAnsi="仿宋_GB2312" w:eastAsia="仿宋_GB2312" w:cs="仿宋_GB2312"/>
        <w:sz w:val="24"/>
        <w:szCs w:val="24"/>
      </w:rPr>
    </w:sdtEndPr>
    <w:sdtContent>
      <w:p>
        <w:pPr>
          <w:pStyle w:val="9"/>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2</w:t>
        </w:r>
        <w:r>
          <w:rPr>
            <w:rFonts w:hint="eastAsia" w:ascii="仿宋_GB2312" w:hAnsi="仿宋_GB2312" w:eastAsia="仿宋_GB2312" w:cs="仿宋_GB2312"/>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24"/>
        <w:szCs w:val="24"/>
      </w:rPr>
      <w:id w:val="1859312391"/>
      <w:docPartObj>
        <w:docPartGallery w:val="autotext"/>
      </w:docPartObj>
    </w:sdtPr>
    <w:sdtEndPr>
      <w:rPr>
        <w:rFonts w:hint="eastAsia" w:ascii="仿宋_GB2312" w:hAnsi="仿宋_GB2312" w:eastAsia="仿宋_GB2312" w:cs="仿宋_GB2312"/>
        <w:sz w:val="24"/>
        <w:szCs w:val="24"/>
      </w:rPr>
    </w:sdtEndPr>
    <w:sdtContent>
      <w:p>
        <w:pPr>
          <w:pStyle w:val="9"/>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2</w:t>
        </w:r>
        <w:r>
          <w:rPr>
            <w:rFonts w:hint="eastAsia" w:ascii="仿宋_GB2312" w:hAnsi="仿宋_GB2312" w:eastAsia="仿宋_GB2312" w:cs="仿宋_GB2312"/>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adjustRightInd w:val="0"/>
      <w:ind w:left="2700" w:hanging="2700" w:hangingChars="1500"/>
      <w:rPr>
        <w:sz w:val="24"/>
      </w:rPr>
    </w:pPr>
    <w:r>
      <w:drawing>
        <wp:inline distT="0" distB="0" distL="114300" distR="114300">
          <wp:extent cx="240665" cy="24066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rPr>
      <w:t>山西亚泰                        宁武县化北屯乡2020年统筹整合资金绩效评价报告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adjustRightInd w:val="0"/>
      <w:ind w:left="2700" w:hanging="2700" w:hangingChars="1500"/>
      <w:rPr>
        <w:sz w:val="24"/>
      </w:rPr>
    </w:pPr>
    <w:r>
      <w:drawing>
        <wp:inline distT="0" distB="0" distL="114300" distR="114300">
          <wp:extent cx="240665" cy="24066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rPr>
      <w:t>山西亚泰                         宁武县化北屯乡2020年统筹整合资金绩效评价报告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adjustRightInd w:val="0"/>
      <w:ind w:left="2700" w:hanging="2700" w:hangingChars="1500"/>
      <w:rPr>
        <w:sz w:val="24"/>
      </w:rPr>
    </w:pPr>
    <w:r>
      <w:drawing>
        <wp:inline distT="0" distB="0" distL="114300" distR="114300">
          <wp:extent cx="240665" cy="240665"/>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rPr>
      <w:t>山西亚泰</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宁武县化北屯乡2020年统筹整合资金绩效评价报告</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lOGVmMDljNzk5ZGMwYjQ4ZmEwMTM4ODM0MWVkMGMifQ=="/>
  </w:docVars>
  <w:rsids>
    <w:rsidRoot w:val="6E06439F"/>
    <w:rsid w:val="00503A6C"/>
    <w:rsid w:val="00550D8F"/>
    <w:rsid w:val="005D63ED"/>
    <w:rsid w:val="006563D4"/>
    <w:rsid w:val="006C7BAC"/>
    <w:rsid w:val="00746725"/>
    <w:rsid w:val="009B3072"/>
    <w:rsid w:val="00AB35C0"/>
    <w:rsid w:val="00D31991"/>
    <w:rsid w:val="00DC5B64"/>
    <w:rsid w:val="00F50FBD"/>
    <w:rsid w:val="01205519"/>
    <w:rsid w:val="01352E76"/>
    <w:rsid w:val="014963CA"/>
    <w:rsid w:val="01B57279"/>
    <w:rsid w:val="030D40BE"/>
    <w:rsid w:val="03D64DF8"/>
    <w:rsid w:val="0686590E"/>
    <w:rsid w:val="07856AED"/>
    <w:rsid w:val="07B1758D"/>
    <w:rsid w:val="07CD02C0"/>
    <w:rsid w:val="07FF394E"/>
    <w:rsid w:val="089662BB"/>
    <w:rsid w:val="0C0D00F8"/>
    <w:rsid w:val="0CAF1BF4"/>
    <w:rsid w:val="0DCB7AA1"/>
    <w:rsid w:val="0E9B4C74"/>
    <w:rsid w:val="0FA2224D"/>
    <w:rsid w:val="0FCF5B88"/>
    <w:rsid w:val="13C07FD2"/>
    <w:rsid w:val="146B158C"/>
    <w:rsid w:val="14971E1B"/>
    <w:rsid w:val="17DB7999"/>
    <w:rsid w:val="199C01EE"/>
    <w:rsid w:val="1B750FCE"/>
    <w:rsid w:val="1C112D43"/>
    <w:rsid w:val="1C6C56C6"/>
    <w:rsid w:val="20E64474"/>
    <w:rsid w:val="21352D06"/>
    <w:rsid w:val="22993DC8"/>
    <w:rsid w:val="247C28D0"/>
    <w:rsid w:val="247C6CEB"/>
    <w:rsid w:val="24E231A5"/>
    <w:rsid w:val="25EC6E23"/>
    <w:rsid w:val="26A876F7"/>
    <w:rsid w:val="270C62B7"/>
    <w:rsid w:val="27D24108"/>
    <w:rsid w:val="28250AF9"/>
    <w:rsid w:val="2A5104E2"/>
    <w:rsid w:val="2B006133"/>
    <w:rsid w:val="2C4E7372"/>
    <w:rsid w:val="2F59444C"/>
    <w:rsid w:val="2F9A290B"/>
    <w:rsid w:val="317B6AD4"/>
    <w:rsid w:val="3199108F"/>
    <w:rsid w:val="32EB3F36"/>
    <w:rsid w:val="358F0452"/>
    <w:rsid w:val="35C83BCE"/>
    <w:rsid w:val="362E162A"/>
    <w:rsid w:val="388A4E47"/>
    <w:rsid w:val="39BE266D"/>
    <w:rsid w:val="3A8C3104"/>
    <w:rsid w:val="3ECB1CD5"/>
    <w:rsid w:val="3FAC1192"/>
    <w:rsid w:val="3FB8417B"/>
    <w:rsid w:val="3FE7430F"/>
    <w:rsid w:val="3FF84480"/>
    <w:rsid w:val="40205885"/>
    <w:rsid w:val="403519B5"/>
    <w:rsid w:val="40BC26A4"/>
    <w:rsid w:val="412A6431"/>
    <w:rsid w:val="42D53EF1"/>
    <w:rsid w:val="4848025D"/>
    <w:rsid w:val="4A4143CF"/>
    <w:rsid w:val="4A6F4C2B"/>
    <w:rsid w:val="4D73233C"/>
    <w:rsid w:val="508B75FE"/>
    <w:rsid w:val="51084FDF"/>
    <w:rsid w:val="52195BA8"/>
    <w:rsid w:val="53BF2E1C"/>
    <w:rsid w:val="546D647B"/>
    <w:rsid w:val="54FA37FF"/>
    <w:rsid w:val="563C3A04"/>
    <w:rsid w:val="568A5CEF"/>
    <w:rsid w:val="57511F1F"/>
    <w:rsid w:val="57AA1051"/>
    <w:rsid w:val="57D16074"/>
    <w:rsid w:val="5B4F476C"/>
    <w:rsid w:val="5CAE2113"/>
    <w:rsid w:val="5D800937"/>
    <w:rsid w:val="5E1E58CE"/>
    <w:rsid w:val="5EAE366E"/>
    <w:rsid w:val="5F6E527B"/>
    <w:rsid w:val="5FB82978"/>
    <w:rsid w:val="6000284F"/>
    <w:rsid w:val="613C52FF"/>
    <w:rsid w:val="623E0D13"/>
    <w:rsid w:val="63871E73"/>
    <w:rsid w:val="63B87DFF"/>
    <w:rsid w:val="663C0E4B"/>
    <w:rsid w:val="66955355"/>
    <w:rsid w:val="672141D6"/>
    <w:rsid w:val="682916DB"/>
    <w:rsid w:val="68802A96"/>
    <w:rsid w:val="688E25CD"/>
    <w:rsid w:val="68EF37AC"/>
    <w:rsid w:val="69F54B67"/>
    <w:rsid w:val="6C1F3963"/>
    <w:rsid w:val="6C4E694D"/>
    <w:rsid w:val="6C77554D"/>
    <w:rsid w:val="6E06439F"/>
    <w:rsid w:val="6E9E15E9"/>
    <w:rsid w:val="6EBF2ABF"/>
    <w:rsid w:val="6ECC2751"/>
    <w:rsid w:val="6F8F04BD"/>
    <w:rsid w:val="6FB2478F"/>
    <w:rsid w:val="787C3EEC"/>
    <w:rsid w:val="788833AC"/>
    <w:rsid w:val="78E70FB7"/>
    <w:rsid w:val="79B83CC3"/>
    <w:rsid w:val="7ADB5645"/>
    <w:rsid w:val="7BB37273"/>
    <w:rsid w:val="7BC43DF5"/>
    <w:rsid w:val="7D9957B7"/>
    <w:rsid w:val="7E1944F9"/>
    <w:rsid w:val="7F777071"/>
    <w:rsid w:val="7FAF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ind w:firstLine="200"/>
      <w:outlineLvl w:val="0"/>
    </w:pPr>
    <w:rPr>
      <w:rFonts w:ascii="黑体" w:hAnsi="黑体" w:eastAsia="黑体"/>
      <w:bCs/>
      <w:kern w:val="44"/>
      <w:szCs w:val="44"/>
    </w:rPr>
  </w:style>
  <w:style w:type="paragraph" w:styleId="5">
    <w:name w:val="heading 2"/>
    <w:basedOn w:val="1"/>
    <w:next w:val="1"/>
    <w:unhideWhenUsed/>
    <w:qFormat/>
    <w:uiPriority w:val="0"/>
    <w:pPr>
      <w:ind w:firstLine="200"/>
      <w:outlineLvl w:val="1"/>
    </w:pPr>
    <w:rPr>
      <w:rFonts w:ascii="楷体_GB2312" w:hAnsi="楷体_GB2312" w:eastAsia="楷体_GB2312"/>
    </w:rPr>
  </w:style>
  <w:style w:type="paragraph" w:styleId="6">
    <w:name w:val="heading 3"/>
    <w:basedOn w:val="1"/>
    <w:next w:val="1"/>
    <w:unhideWhenUsed/>
    <w:qFormat/>
    <w:uiPriority w:val="0"/>
    <w:pPr>
      <w:keepNext/>
      <w:keepLines/>
      <w:spacing w:line="360" w:lineRule="auto"/>
      <w:ind w:firstLine="723" w:firstLineChars="200"/>
      <w:outlineLvl w:val="2"/>
    </w:pPr>
    <w:rPr>
      <w:rFonts w:eastAsia="仿宋_GB2312"/>
      <w:b/>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7">
    <w:name w:val="annotation text"/>
    <w:basedOn w:val="1"/>
    <w:qFormat/>
    <w:uiPriority w:val="0"/>
    <w:pPr>
      <w:jc w:val="left"/>
    </w:pPr>
  </w:style>
  <w:style w:type="paragraph" w:styleId="8">
    <w:name w:val="Date"/>
    <w:basedOn w:val="1"/>
    <w:next w:val="1"/>
    <w:link w:val="24"/>
    <w:uiPriority w:val="0"/>
    <w:pPr>
      <w:ind w:left="100" w:leftChars="2500"/>
    </w:pPr>
  </w:style>
  <w:style w:type="paragraph" w:styleId="9">
    <w:name w:val="footer"/>
    <w:basedOn w:val="1"/>
    <w:link w:val="25"/>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pPr>
      <w:spacing w:beforeAutospacing="1" w:afterAutospacing="1"/>
      <w:jc w:val="left"/>
    </w:pPr>
    <w:rPr>
      <w:rFonts w:cs="Times New Roman"/>
      <w:kern w:val="0"/>
      <w:sz w:val="24"/>
    </w:rPr>
  </w:style>
  <w:style w:type="character" w:styleId="17">
    <w:name w:val="Emphasis"/>
    <w:basedOn w:val="16"/>
    <w:qFormat/>
    <w:uiPriority w:val="0"/>
    <w:rPr>
      <w:i/>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WPSOffice手动目录 1"/>
    <w:qFormat/>
    <w:uiPriority w:val="0"/>
    <w:rPr>
      <w:rFonts w:ascii="Times New Roman" w:hAnsi="Times New Roman" w:eastAsia="宋体" w:cs="Times New Roman"/>
      <w:lang w:val="en-US" w:eastAsia="zh-CN" w:bidi="ar-SA"/>
    </w:rPr>
  </w:style>
  <w:style w:type="character" w:customStyle="1" w:styleId="21">
    <w:name w:val="font11"/>
    <w:basedOn w:val="16"/>
    <w:qFormat/>
    <w:uiPriority w:val="0"/>
    <w:rPr>
      <w:rFonts w:hint="eastAsia" w:ascii="宋体" w:hAnsi="宋体" w:eastAsia="宋体" w:cs="宋体"/>
      <w:b/>
      <w:bCs/>
      <w:color w:val="000000"/>
      <w:sz w:val="20"/>
      <w:szCs w:val="20"/>
      <w:u w:val="none"/>
    </w:rPr>
  </w:style>
  <w:style w:type="character" w:customStyle="1" w:styleId="22">
    <w:name w:val="font31"/>
    <w:basedOn w:val="16"/>
    <w:qFormat/>
    <w:uiPriority w:val="0"/>
    <w:rPr>
      <w:rFonts w:hint="eastAsia" w:ascii="宋体" w:hAnsi="宋体" w:eastAsia="宋体" w:cs="宋体"/>
      <w:b/>
      <w:bCs/>
      <w:color w:val="000000"/>
      <w:sz w:val="20"/>
      <w:szCs w:val="20"/>
      <w:u w:val="none"/>
    </w:rPr>
  </w:style>
  <w:style w:type="paragraph" w:customStyle="1" w:styleId="2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4">
    <w:name w:val="日期 字符"/>
    <w:basedOn w:val="16"/>
    <w:link w:val="8"/>
    <w:uiPriority w:val="0"/>
    <w:rPr>
      <w:rFonts w:asciiTheme="minorHAnsi" w:hAnsiTheme="minorHAnsi" w:eastAsiaTheme="minorEastAsia" w:cstheme="minorBidi"/>
      <w:kern w:val="2"/>
      <w:sz w:val="21"/>
      <w:szCs w:val="24"/>
    </w:rPr>
  </w:style>
  <w:style w:type="character" w:customStyle="1" w:styleId="25">
    <w:name w:val="页脚 字符"/>
    <w:basedOn w:val="16"/>
    <w:link w:val="9"/>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FA79-F1EF-432A-89E0-E053F092A776}">
  <ds:schemaRefs/>
</ds:datastoreItem>
</file>

<file path=docProps/app.xml><?xml version="1.0" encoding="utf-8"?>
<Properties xmlns="http://schemas.openxmlformats.org/officeDocument/2006/extended-properties" xmlns:vt="http://schemas.openxmlformats.org/officeDocument/2006/docPropsVTypes">
  <Template>Normal</Template>
  <Pages>9</Pages>
  <Words>3960</Words>
  <Characters>4219</Characters>
  <Lines>35</Lines>
  <Paragraphs>9</Paragraphs>
  <TotalTime>27</TotalTime>
  <ScaleCrop>false</ScaleCrop>
  <LinksUpToDate>false</LinksUpToDate>
  <CharactersWithSpaces>4224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2022-09-13T10:28:00Z</dcterms:created>
  <dc:creator>Agar</dc:creator>
  <cp:lastModifiedBy>随意@_@</cp:lastModifiedBy>
  <cp:lastPrinted>2022-03-30T08:22:00Z</cp:lastPrinted>
  <dcterms:modified xsi:type="dcterms:W3CDTF">2022-09-13T12:17:56Z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DFF0E0CCE46241C78A67811C3FC60E0D</vt:lpwstr>
  </property>
  <property fmtid="{D5CDD505-2E9C-101B-9397-08002B2CF9AE}" pid="4" name="commondata">
    <vt:lpwstr>eyJoZGlkIjoiNjM1YWI2YjM3YmMyM2M2N2Q3ZDhhNjM1NzA1NDMxOGUifQ==</vt:lpwstr>
  </property>
</Properties>
</file>