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lang w:val="en-US" w:eastAsia="zh-CN"/>
        </w:rPr>
      </w:pPr>
    </w:p>
    <w:p>
      <w:pPr>
        <w:pStyle w:val="14"/>
        <w:keepNext w:val="0"/>
        <w:keepLines w:val="0"/>
        <w:widowControl/>
        <w:suppressLineNumbers w:val="0"/>
        <w:ind w:left="0" w:firstLine="0"/>
        <w:jc w:val="center"/>
        <w:outlineLvl w:val="9"/>
        <w:rPr>
          <w:rFonts w:hint="eastAsia" w:ascii="方正小标宋简体" w:hAnsi="方正小标宋简体" w:eastAsia="方正小标宋简体" w:cs="方正小标宋简体"/>
          <w:i w:val="0"/>
          <w:iCs w:val="0"/>
          <w:caps w:val="0"/>
          <w:color w:val="000000"/>
          <w:spacing w:val="0"/>
          <w:sz w:val="44"/>
          <w:szCs w:val="44"/>
          <w:highlight w:val="none"/>
          <w:lang w:eastAsia="zh-CN"/>
        </w:rPr>
      </w:pPr>
      <w:r>
        <w:rPr>
          <w:rFonts w:hint="eastAsia" w:ascii="方正小标宋简体" w:hAnsi="方正小标宋简体" w:eastAsia="方正小标宋简体" w:cs="方正小标宋简体"/>
          <w:i w:val="0"/>
          <w:iCs w:val="0"/>
          <w:caps w:val="0"/>
          <w:color w:val="000000"/>
          <w:spacing w:val="0"/>
          <w:sz w:val="44"/>
          <w:szCs w:val="44"/>
          <w:highlight w:val="none"/>
          <w:lang w:eastAsia="zh-CN"/>
        </w:rPr>
        <w:t>宁武县交通局</w:t>
      </w:r>
      <w:r>
        <w:rPr>
          <w:rFonts w:hint="eastAsia" w:ascii="方正小标宋简体" w:hAnsi="方正小标宋简体" w:eastAsia="方正小标宋简体" w:cs="方正小标宋简体"/>
          <w:i w:val="0"/>
          <w:iCs w:val="0"/>
          <w:caps w:val="0"/>
          <w:color w:val="000000"/>
          <w:spacing w:val="0"/>
          <w:sz w:val="44"/>
          <w:szCs w:val="44"/>
          <w:highlight w:val="none"/>
        </w:rPr>
        <w:t>2020年统筹</w:t>
      </w:r>
      <w:r>
        <w:rPr>
          <w:rFonts w:hint="eastAsia" w:ascii="方正小标宋简体" w:hAnsi="方正小标宋简体" w:eastAsia="方正小标宋简体" w:cs="方正小标宋简体"/>
          <w:i w:val="0"/>
          <w:iCs w:val="0"/>
          <w:caps w:val="0"/>
          <w:color w:val="000000"/>
          <w:spacing w:val="0"/>
          <w:sz w:val="44"/>
          <w:szCs w:val="44"/>
          <w:highlight w:val="none"/>
          <w:lang w:eastAsia="zh-CN"/>
        </w:rPr>
        <w:t>整合财政资金</w:t>
      </w:r>
    </w:p>
    <w:p>
      <w:pPr>
        <w:pStyle w:val="14"/>
        <w:keepNext w:val="0"/>
        <w:keepLines w:val="0"/>
        <w:widowControl/>
        <w:suppressLineNumbers w:val="0"/>
        <w:ind w:left="0" w:firstLine="0"/>
        <w:jc w:val="center"/>
        <w:outlineLvl w:val="9"/>
        <w:rPr>
          <w:rFonts w:hint="eastAsia" w:ascii="方正小标宋简体" w:hAnsi="方正小标宋简体" w:eastAsia="方正小标宋简体" w:cs="方正小标宋简体"/>
          <w:i w:val="0"/>
          <w:iCs w:val="0"/>
          <w:caps w:val="0"/>
          <w:color w:val="000000"/>
          <w:spacing w:val="0"/>
          <w:sz w:val="44"/>
          <w:szCs w:val="44"/>
          <w:highlight w:val="none"/>
        </w:rPr>
      </w:pPr>
      <w:r>
        <w:rPr>
          <w:rFonts w:hint="eastAsia" w:ascii="方正小标宋简体" w:hAnsi="方正小标宋简体" w:eastAsia="方正小标宋简体" w:cs="方正小标宋简体"/>
          <w:i w:val="0"/>
          <w:iCs w:val="0"/>
          <w:caps w:val="0"/>
          <w:color w:val="000000"/>
          <w:spacing w:val="0"/>
          <w:sz w:val="44"/>
          <w:szCs w:val="44"/>
          <w:highlight w:val="none"/>
        </w:rPr>
        <w:t>绩效评价报告</w:t>
      </w: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tabs>
          <w:tab w:val="left" w:pos="2001"/>
        </w:tabs>
        <w:ind w:left="0" w:firstLine="0"/>
        <w:jc w:val="left"/>
        <w:rPr>
          <w:rFonts w:hint="default" w:ascii="方正小标宋简体" w:hAnsi="方正小标宋简体" w:eastAsia="方正小标宋简体" w:cs="方正小标宋简体"/>
          <w:b w:val="0"/>
          <w:bCs w:val="0"/>
          <w:i w:val="0"/>
          <w:iCs w:val="0"/>
          <w:caps w:val="0"/>
          <w:color w:val="000000"/>
          <w:spacing w:val="0"/>
          <w:sz w:val="28"/>
          <w:szCs w:val="28"/>
          <w:highlight w:val="none"/>
          <w:lang w:val="en-US" w:eastAsia="zh-CN"/>
        </w:rPr>
      </w:pPr>
    </w:p>
    <w:p>
      <w:pPr>
        <w:pStyle w:val="14"/>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widowControl/>
        <w:suppressLineNumbers w:val="0"/>
        <w:ind w:left="0" w:firstLine="0"/>
        <w:jc w:val="both"/>
        <w:rPr>
          <w:rFonts w:hint="eastAsia" w:ascii="方正小标宋简体" w:hAnsi="方正小标宋简体" w:eastAsia="方正小标宋简体" w:cs="方正小标宋简体"/>
          <w:i w:val="0"/>
          <w:iCs w:val="0"/>
          <w:caps w:val="0"/>
          <w:color w:val="000000"/>
          <w:spacing w:val="0"/>
          <w:sz w:val="36"/>
          <w:szCs w:val="36"/>
          <w:highlight w:val="none"/>
        </w:rPr>
      </w:pP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1280" w:firstLineChars="400"/>
        <w:jc w:val="both"/>
        <w:textAlignment w:val="auto"/>
        <w:rPr>
          <w:rFonts w:hint="eastAsia" w:ascii="黑体" w:hAnsi="黑体" w:eastAsia="黑体" w:cs="黑体"/>
          <w:i w:val="0"/>
          <w:iCs w:val="0"/>
          <w:caps w:val="0"/>
          <w:color w:val="000000"/>
          <w:spacing w:val="0"/>
          <w:sz w:val="28"/>
          <w:szCs w:val="28"/>
          <w:highlight w:val="none"/>
          <w:lang w:val="en-US" w:eastAsia="zh-CN"/>
        </w:rPr>
      </w:pPr>
      <w:r>
        <w:rPr>
          <w:rFonts w:hint="eastAsia" w:ascii="黑体" w:hAnsi="黑体" w:eastAsia="黑体" w:cs="黑体"/>
          <w:i w:val="0"/>
          <w:iCs w:val="0"/>
          <w:caps w:val="0"/>
          <w:color w:val="000000"/>
          <w:spacing w:val="0"/>
          <w:sz w:val="32"/>
          <w:szCs w:val="32"/>
          <w:highlight w:val="none"/>
          <w:lang w:val="en-US" w:eastAsia="zh-CN"/>
        </w:rPr>
        <w:t>单位名称：宁武县交通局</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1280" w:firstLineChars="400"/>
        <w:jc w:val="both"/>
        <w:textAlignment w:val="auto"/>
        <w:rPr>
          <w:rFonts w:hint="default" w:ascii="黑体" w:hAnsi="黑体" w:eastAsia="黑体" w:cs="黑体"/>
          <w:i w:val="0"/>
          <w:iCs w:val="0"/>
          <w:caps w:val="0"/>
          <w:color w:val="000000"/>
          <w:spacing w:val="0"/>
          <w:sz w:val="32"/>
          <w:szCs w:val="32"/>
          <w:highlight w:val="none"/>
          <w:lang w:val="en-US" w:eastAsia="zh-CN"/>
        </w:rPr>
      </w:pPr>
      <w:r>
        <w:rPr>
          <w:rFonts w:hint="eastAsia" w:ascii="黑体" w:hAnsi="黑体" w:eastAsia="黑体" w:cs="黑体"/>
          <w:i w:val="0"/>
          <w:iCs w:val="0"/>
          <w:caps w:val="0"/>
          <w:color w:val="000000"/>
          <w:spacing w:val="0"/>
          <w:sz w:val="32"/>
          <w:szCs w:val="32"/>
          <w:highlight w:val="none"/>
          <w:lang w:val="en-US" w:eastAsia="zh-CN"/>
        </w:rPr>
        <w:t>委托单位：宁武县财政局</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1280" w:firstLineChars="400"/>
        <w:jc w:val="both"/>
        <w:textAlignment w:val="auto"/>
        <w:rPr>
          <w:rFonts w:hint="default" w:ascii="黑体" w:hAnsi="黑体" w:eastAsia="黑体" w:cs="黑体"/>
          <w:i w:val="0"/>
          <w:iCs w:val="0"/>
          <w:caps w:val="0"/>
          <w:color w:val="000000"/>
          <w:spacing w:val="0"/>
          <w:sz w:val="32"/>
          <w:szCs w:val="32"/>
          <w:highlight w:val="none"/>
          <w:lang w:val="en-US" w:eastAsia="zh-CN"/>
        </w:rPr>
      </w:pPr>
      <w:r>
        <w:rPr>
          <w:rFonts w:hint="eastAsia" w:ascii="黑体" w:hAnsi="黑体" w:eastAsia="黑体" w:cs="黑体"/>
          <w:i w:val="0"/>
          <w:iCs w:val="0"/>
          <w:caps w:val="0"/>
          <w:color w:val="000000"/>
          <w:spacing w:val="0"/>
          <w:sz w:val="32"/>
          <w:szCs w:val="32"/>
          <w:highlight w:val="none"/>
          <w:lang w:val="en-US" w:eastAsia="zh-CN"/>
        </w:rPr>
        <w:t>评价机构：山西亚泰会计师事务所有限公司</w:t>
      </w:r>
    </w:p>
    <w:p>
      <w:pPr>
        <w:keepNext w:val="0"/>
        <w:keepLines w:val="0"/>
        <w:pageBreakBefore w:val="0"/>
        <w:widowControl w:val="0"/>
        <w:kinsoku/>
        <w:wordWrap/>
        <w:overflowPunct/>
        <w:topLinePunct w:val="0"/>
        <w:autoSpaceDE/>
        <w:autoSpaceDN/>
        <w:bidi w:val="0"/>
        <w:adjustRightInd w:val="0"/>
        <w:snapToGrid w:val="0"/>
        <w:spacing w:before="157" w:beforeLines="50"/>
        <w:jc w:val="center"/>
        <w:textAlignment w:val="auto"/>
        <w:outlineLvl w:val="9"/>
        <w:rPr>
          <w:rFonts w:hint="eastAsia" w:ascii="黑体" w:hAnsi="黑体" w:eastAsia="黑体" w:cs="黑体"/>
          <w:i w:val="0"/>
          <w:iCs w:val="0"/>
          <w:caps w:val="0"/>
          <w:color w:val="000000"/>
          <w:spacing w:val="0"/>
          <w:sz w:val="32"/>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jc w:val="center"/>
        <w:textAlignment w:val="auto"/>
        <w:outlineLvl w:val="9"/>
        <w:rPr>
          <w:rFonts w:hint="default" w:ascii="黑体" w:hAnsi="黑体" w:eastAsia="黑体" w:cs="黑体"/>
          <w:i w:val="0"/>
          <w:iCs w:val="0"/>
          <w:caps w:val="0"/>
          <w:color w:val="000000"/>
          <w:spacing w:val="0"/>
          <w:sz w:val="32"/>
          <w:szCs w:val="28"/>
          <w:highlight w:val="none"/>
          <w:lang w:val="en-US" w:eastAsia="zh-CN"/>
        </w:rPr>
      </w:pPr>
      <w:r>
        <w:rPr>
          <w:rFonts w:hint="eastAsia" w:ascii="黑体" w:hAnsi="黑体" w:eastAsia="黑体" w:cs="黑体"/>
          <w:i w:val="0"/>
          <w:iCs w:val="0"/>
          <w:caps w:val="0"/>
          <w:color w:val="000000"/>
          <w:spacing w:val="0"/>
          <w:sz w:val="32"/>
          <w:szCs w:val="28"/>
          <w:highlight w:val="none"/>
          <w:lang w:val="en-US" w:eastAsia="zh-CN"/>
        </w:rPr>
        <w:t>二〇二一年十月</w:t>
      </w:r>
    </w:p>
    <w:p>
      <w:pPr>
        <w:pStyle w:val="3"/>
        <w:rPr>
          <w:rFonts w:hint="eastAsia" w:ascii="黑体" w:hAnsi="黑体" w:eastAsia="黑体" w:cs="黑体"/>
          <w:i w:val="0"/>
          <w:iCs w:val="0"/>
          <w:caps w:val="0"/>
          <w:color w:val="000000"/>
          <w:spacing w:val="0"/>
          <w:sz w:val="32"/>
          <w:szCs w:val="28"/>
          <w:highlight w:val="none"/>
          <w:lang w:val="en-US" w:eastAsia="zh-CN"/>
        </w:rPr>
      </w:pPr>
    </w:p>
    <w:p>
      <w:pPr>
        <w:pStyle w:val="3"/>
        <w:rPr>
          <w:rFonts w:hint="eastAsia" w:ascii="黑体" w:hAnsi="黑体" w:eastAsia="黑体" w:cs="黑体"/>
          <w:i w:val="0"/>
          <w:iCs w:val="0"/>
          <w:caps w:val="0"/>
          <w:color w:val="000000"/>
          <w:spacing w:val="0"/>
          <w:sz w:val="32"/>
          <w:szCs w:val="28"/>
          <w:highlight w:val="none"/>
          <w:lang w:val="en-US" w:eastAsia="zh-CN"/>
        </w:rPr>
        <w:sectPr>
          <w:headerReference r:id="rId4" w:type="first"/>
          <w:headerReference r:id="rId3"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425" w:num="1"/>
          <w:docGrid w:type="lines" w:linePitch="312" w:charSpace="0"/>
        </w:sectPr>
      </w:pPr>
    </w:p>
    <w:p>
      <w:pPr>
        <w:numPr>
          <w:ilvl w:val="0"/>
          <w:numId w:val="0"/>
        </w:numPr>
        <w:rPr>
          <w:rFonts w:hint="eastAsia" w:ascii="微软雅黑" w:hAnsi="微软雅黑" w:eastAsia="微软雅黑" w:cs="微软雅黑"/>
          <w:i w:val="0"/>
          <w:iCs w:val="0"/>
          <w:caps w:val="0"/>
          <w:color w:val="000000"/>
          <w:spacing w:val="0"/>
          <w:sz w:val="28"/>
          <w:szCs w:val="27"/>
          <w:highlight w:val="none"/>
        </w:rPr>
      </w:pPr>
      <w:bookmarkStart w:id="0" w:name="_Toc23741"/>
    </w:p>
    <w:bookmarkEnd w:id="0"/>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9"/>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pPr>
      <w:bookmarkStart w:id="1" w:name="_Toc13003"/>
      <w:bookmarkStart w:id="2" w:name="_Toc21290"/>
      <w:bookmarkStart w:id="3" w:name="_Toc11188"/>
      <w:bookmarkStart w:id="4" w:name="_Toc20044"/>
      <w:r>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t>宁武县交通局2020年统筹</w:t>
      </w:r>
      <w:bookmarkEnd w:id="1"/>
      <w:r>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t>整合财政资金</w:t>
      </w:r>
      <w:bookmarkEnd w:id="2"/>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0" w:firstLineChars="0"/>
        <w:jc w:val="center"/>
        <w:textAlignment w:val="auto"/>
        <w:outlineLvl w:val="9"/>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pPr>
      <w:bookmarkStart w:id="5" w:name="_Toc30733"/>
      <w:bookmarkStart w:id="6" w:name="_Toc28877"/>
      <w:r>
        <w:rPr>
          <w:rFonts w:hint="eastAsia" w:ascii="方正小标宋简体" w:hAnsi="方正小标宋简体" w:eastAsia="方正小标宋简体" w:cs="方正小标宋简体"/>
          <w:i w:val="0"/>
          <w:iCs w:val="0"/>
          <w:caps w:val="0"/>
          <w:color w:val="000000"/>
          <w:spacing w:val="0"/>
          <w:sz w:val="36"/>
          <w:szCs w:val="32"/>
          <w:highlight w:val="none"/>
          <w:lang w:val="en-US" w:eastAsia="zh-CN"/>
        </w:rPr>
        <w:t>绩效评价报告</w:t>
      </w:r>
      <w:bookmarkEnd w:id="3"/>
      <w:bookmarkEnd w:id="4"/>
      <w:bookmarkEnd w:id="5"/>
      <w:bookmarkEnd w:id="6"/>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bookmarkStart w:id="7" w:name="_Toc18074"/>
      <w:bookmarkStart w:id="8" w:name="_Toc13435"/>
      <w:r>
        <w:rPr>
          <w:rFonts w:hint="eastAsia" w:ascii="仿宋_GB2312" w:hAnsi="仿宋_GB2312" w:eastAsia="仿宋_GB2312" w:cs="仿宋_GB2312"/>
          <w:i w:val="0"/>
          <w:iCs w:val="0"/>
          <w:caps w:val="0"/>
          <w:color w:val="000000"/>
          <w:spacing w:val="0"/>
          <w:sz w:val="28"/>
          <w:szCs w:val="28"/>
          <w:highlight w:val="none"/>
          <w:lang w:val="en-US" w:eastAsia="zh-CN"/>
        </w:rPr>
        <w:t>为深入贯彻落实《中共山西省委 山西省人民政府关于全面实施预算绩效管理的实施意见》（晋发〔2018〕39号）文件精神，全面实施预算绩效管理，提高财政资源配置效率和使用效益，增强财政支出的责任和效率意识，根据《宁武县财政局关于开展2020年度项目支出绩效评价工作的通知》（宁财字〔2020〕13号），受宁武县财政局委托，山西亚泰会计师事务所有限公司于2021年6月对宁武县交通局2020年统筹整合财政资金进行了绩效评价，现将此次绩效评价情况报告如下。</w:t>
      </w:r>
      <w:bookmarkEnd w:id="7"/>
      <w:bookmarkEnd w:id="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Chars="0" w:firstLine="560" w:firstLineChars="200"/>
        <w:textAlignment w:val="auto"/>
        <w:outlineLvl w:val="0"/>
        <w:rPr>
          <w:rFonts w:hint="eastAsia" w:ascii="黑体" w:hAnsi="黑体" w:eastAsia="黑体" w:cs="黑体"/>
          <w:i w:val="0"/>
          <w:iCs w:val="0"/>
          <w:caps w:val="0"/>
          <w:color w:val="000000"/>
          <w:spacing w:val="0"/>
          <w:sz w:val="28"/>
          <w:szCs w:val="28"/>
          <w:highlight w:val="none"/>
        </w:rPr>
      </w:pPr>
      <w:bookmarkStart w:id="9" w:name="_Toc3143"/>
      <w:bookmarkStart w:id="10" w:name="_Toc29953"/>
      <w:r>
        <w:rPr>
          <w:rFonts w:hint="eastAsia" w:ascii="黑体" w:hAnsi="黑体" w:eastAsia="黑体" w:cs="黑体"/>
          <w:i w:val="0"/>
          <w:iCs w:val="0"/>
          <w:caps w:val="0"/>
          <w:color w:val="000000"/>
          <w:spacing w:val="0"/>
          <w:sz w:val="28"/>
          <w:szCs w:val="28"/>
          <w:highlight w:val="none"/>
        </w:rPr>
        <w:t>一、基本情况</w:t>
      </w:r>
      <w:bookmarkEnd w:id="9"/>
      <w:bookmarkEnd w:id="10"/>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lang w:eastAsia="zh-CN"/>
        </w:rPr>
      </w:pPr>
      <w:bookmarkStart w:id="11" w:name="_Toc23163"/>
      <w:bookmarkStart w:id="12" w:name="_Toc10646"/>
      <w:r>
        <w:rPr>
          <w:rFonts w:hint="eastAsia" w:ascii="楷体_GB2312" w:hAnsi="楷体_GB2312" w:eastAsia="楷体_GB2312" w:cs="楷体_GB2312"/>
          <w:i w:val="0"/>
          <w:iCs w:val="0"/>
          <w:caps w:val="0"/>
          <w:color w:val="000000"/>
          <w:spacing w:val="0"/>
          <w:sz w:val="28"/>
          <w:szCs w:val="28"/>
          <w:highlight w:val="none"/>
        </w:rPr>
        <w:t>（一）项目</w:t>
      </w:r>
      <w:bookmarkEnd w:id="11"/>
      <w:bookmarkEnd w:id="12"/>
      <w:r>
        <w:rPr>
          <w:rFonts w:hint="eastAsia" w:ascii="楷体_GB2312" w:hAnsi="楷体_GB2312" w:eastAsia="楷体_GB2312" w:cs="楷体_GB2312"/>
          <w:i w:val="0"/>
          <w:iCs w:val="0"/>
          <w:caps w:val="0"/>
          <w:color w:val="000000"/>
          <w:spacing w:val="0"/>
          <w:sz w:val="28"/>
          <w:szCs w:val="28"/>
          <w:highlight w:val="none"/>
          <w:lang w:val="en-US" w:eastAsia="zh-CN"/>
        </w:rPr>
        <w:t>背景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农村公路是保障农民群众生产生活的基本条件，是农业和农村发展的先导性、基础性设施，是社会主义新农村建设的重要支撑。2003年，交通运输部根据中央“三农”工作的部署要求，提出了“</w:t>
      </w:r>
      <w:r>
        <w:rPr>
          <w:rFonts w:hint="eastAsia" w:ascii="仿宋_GB2312" w:hAnsi="仿宋_GB2312" w:eastAsia="仿宋_GB2312" w:cs="仿宋_GB2312"/>
          <w:sz w:val="28"/>
          <w:szCs w:val="28"/>
          <w:highlight w:val="none"/>
          <w:lang w:eastAsia="zh-CN"/>
        </w:rPr>
        <w:t>修好农村路，服务城镇化，让农民走上油路和水泥路</w:t>
      </w:r>
      <w:r>
        <w:rPr>
          <w:rFonts w:hint="eastAsia" w:ascii="仿宋_GB2312" w:hAnsi="仿宋_GB2312" w:eastAsia="仿宋_GB2312" w:cs="仿宋_GB2312"/>
          <w:sz w:val="28"/>
          <w:szCs w:val="28"/>
          <w:lang w:eastAsia="zh-CN"/>
        </w:rPr>
        <w:t>”的建设目标。2013年，按照党的十八大全面建成小康社会的战略部署，进一步提出了“小康路上，决不让任何一个地方因农村交通而掉队”的新目标。11年来，全国新改建农村公路333万公里，新增通车里程117万公里，通车总里程达到388.2万公里，乡镇和建制村通公路率分别达到99.98%和99.82%，通硬化路率分别达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98.08%和91.76%，通客车率分别达到98.95</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%和93.32%。农村公路的快速发展和路网状况的显著改善，为农村经济发展和社会进步提供了基础保障，为社会主义新农村建设和全面建成小康社会发挥了重要作用。</w:t>
      </w:r>
      <w:r>
        <w:rPr>
          <w:rFonts w:hint="eastAsia" w:ascii="仿宋_GB2312" w:hAnsi="仿宋_GB2312" w:eastAsia="仿宋_GB2312" w:cs="仿宋_GB2312"/>
          <w:sz w:val="28"/>
          <w:szCs w:val="28"/>
          <w:highlight w:val="none"/>
          <w:lang w:eastAsia="zh-CN"/>
        </w:rPr>
        <w:t>当前，农村公路发展依然存在着基础不牢固，区域发展不平衡，养护任务重且资金不足，危桥险段多，安全设施少，运输服务水平不高等突出问题，与全面建成小康社会的要求还存在较大差距。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党的十八大以来，习近平总书记多次就农村公路发展作出重要指示，在充分肯定农村公路建设成绩的同时，要求农村公路建设要因地制宜、以人为本，与优化村镇布局，农村经济发展和广大农民安全便捷出行相适应，要进一步把农村公路建好、管好、护好、运营好，逐步消除制约农村发展的交通瓶颈，为广大农民脱贫致富奔小康提供更好的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山西省</w:t>
      </w:r>
      <w:r>
        <w:rPr>
          <w:rFonts w:hint="eastAsia" w:ascii="仿宋_GB2312" w:hAnsi="仿宋_GB2312" w:eastAsia="仿宋_GB2312" w:cs="仿宋_GB2312"/>
          <w:sz w:val="28"/>
          <w:szCs w:val="28"/>
          <w:lang w:val="en-US" w:eastAsia="zh-CN"/>
        </w:rPr>
        <w:t>省</w:t>
      </w:r>
      <w:r>
        <w:rPr>
          <w:rFonts w:hint="eastAsia" w:ascii="仿宋_GB2312" w:hAnsi="仿宋_GB2312" w:eastAsia="仿宋_GB2312" w:cs="仿宋_GB2312"/>
          <w:sz w:val="28"/>
          <w:szCs w:val="28"/>
          <w:lang w:eastAsia="zh-CN"/>
        </w:rPr>
        <w:t>委</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省政府高度重视“四好农村路”建设，省委在贯彻落实习近平总书记在深度贫困地区脱贫攻坚座谈会讲话精神的意见中明确提出，利用三年时间新改建农村公路6万公里，为此山西省政府专门出台了关于深入推进“四好农村路”建设的实施意见。楼阳生省长多次听取有关情况汇报，要求认真贯彻落实习近平总书记重要指示批示和中央1号文件精神，结合山西省实际，围绕脱贫攻坚工作，转型发展目标，全面推进“四好农村路”建设，为实现乡村振兴、打赢脱贫攻坚战、推动全省转型发展提供交通支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bookmarkStart w:id="13" w:name="（三）项目立项依据"/>
      <w:bookmarkEnd w:id="13"/>
      <w:bookmarkStart w:id="14" w:name="（二）项目立项目的"/>
      <w:bookmarkEnd w:id="14"/>
      <w:bookmarkStart w:id="15" w:name="_bookmark3"/>
      <w:bookmarkEnd w:id="15"/>
      <w:bookmarkStart w:id="16" w:name="_bookmark4"/>
      <w:bookmarkEnd w:id="16"/>
      <w:r>
        <w:rPr>
          <w:rFonts w:hint="eastAsia" w:ascii="仿宋_GB2312" w:hAnsi="仿宋_GB2312" w:eastAsia="仿宋_GB2312" w:cs="仿宋_GB2312"/>
          <w:sz w:val="28"/>
          <w:szCs w:val="28"/>
          <w:lang w:val="en-US" w:eastAsia="zh-CN"/>
        </w:rPr>
        <w:t>宁武县</w:t>
      </w:r>
      <w:r>
        <w:rPr>
          <w:rFonts w:hint="eastAsia" w:ascii="仿宋_GB2312" w:hAnsi="仿宋_GB2312" w:eastAsia="仿宋_GB2312" w:cs="仿宋_GB2312"/>
          <w:sz w:val="28"/>
          <w:szCs w:val="28"/>
          <w:lang w:eastAsia="zh-CN"/>
        </w:rPr>
        <w:t>“四好农村路”建设启动实施以来，宁武县县委、县政府高度重视“四好农村路”建设工作，县政府及交通运输局认真贯彻落实习近平总书记关于农村公路建设的重要指示精神，把加速“四好农村路”建设作为脱贫攻坚，实施乡村振兴战略的重要引擎、精准施策、全县发力、全县农村公路建设取得了让人民群众看得见、用得上得实惠的好成绩，受到了农村百姓的广泛点赞，人民群众获得感、幸福感明显增强。</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2"/>
        <w:rPr>
          <w:rFonts w:hint="eastAsia" w:ascii="楷体_GB2312" w:hAnsi="楷体_GB2312" w:eastAsia="楷体_GB2312" w:cs="楷体_GB2312"/>
          <w:b w:val="0"/>
          <w:bCs w:val="0"/>
          <w:i w:val="0"/>
          <w:iCs w:val="0"/>
          <w:caps w:val="0"/>
          <w:color w:val="auto"/>
          <w:spacing w:val="0"/>
          <w:sz w:val="28"/>
          <w:szCs w:val="28"/>
          <w:highlight w:val="none"/>
        </w:rPr>
      </w:pPr>
      <w:bookmarkStart w:id="17" w:name="_Toc10618"/>
      <w:bookmarkStart w:id="18" w:name="_Toc30808"/>
      <w:r>
        <w:rPr>
          <w:rFonts w:hint="eastAsia" w:ascii="楷体_GB2312" w:hAnsi="楷体_GB2312" w:eastAsia="楷体_GB2312" w:cs="楷体_GB2312"/>
          <w:b w:val="0"/>
          <w:bCs w:val="0"/>
          <w:i w:val="0"/>
          <w:iCs w:val="0"/>
          <w:caps w:val="0"/>
          <w:color w:val="auto"/>
          <w:spacing w:val="0"/>
          <w:sz w:val="28"/>
          <w:szCs w:val="28"/>
          <w:highlight w:val="none"/>
          <w:lang w:val="en-US" w:eastAsia="zh-CN"/>
        </w:rPr>
        <w:t>（二）</w:t>
      </w:r>
      <w:r>
        <w:rPr>
          <w:rFonts w:hint="eastAsia" w:ascii="楷体_GB2312" w:hAnsi="楷体_GB2312" w:eastAsia="楷体_GB2312" w:cs="楷体_GB2312"/>
          <w:b w:val="0"/>
          <w:bCs w:val="0"/>
          <w:i w:val="0"/>
          <w:iCs w:val="0"/>
          <w:caps w:val="0"/>
          <w:color w:val="auto"/>
          <w:spacing w:val="0"/>
          <w:sz w:val="28"/>
          <w:szCs w:val="28"/>
          <w:highlight w:val="none"/>
        </w:rPr>
        <w:t>主要内容及实施情况</w:t>
      </w:r>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textAlignment w:val="auto"/>
        <w:rPr>
          <w:rFonts w:hint="default" w:ascii="仿宋_GB2312" w:hAnsi="仿宋_GB2312" w:eastAsia="仿宋_GB2312" w:cs="仿宋_GB2312"/>
          <w:b/>
          <w:bCs/>
          <w:i w:val="0"/>
          <w:iCs w:val="0"/>
          <w:caps w:val="0"/>
          <w:color w:val="000000"/>
          <w:spacing w:val="0"/>
          <w:sz w:val="28"/>
          <w:szCs w:val="28"/>
          <w:highlight w:val="none"/>
          <w:lang w:val="en-US" w:eastAsia="zh-CN"/>
        </w:rPr>
      </w:pPr>
      <w:bookmarkStart w:id="19" w:name="_Toc20368"/>
      <w:bookmarkStart w:id="20" w:name="_Toc29016"/>
      <w:r>
        <w:rPr>
          <w:rFonts w:hint="eastAsia" w:ascii="仿宋_GB2312" w:hAnsi="仿宋_GB2312" w:eastAsia="仿宋_GB2312" w:cs="仿宋_GB2312"/>
          <w:sz w:val="28"/>
          <w:szCs w:val="28"/>
          <w:lang w:val="en-US" w:eastAsia="zh-CN"/>
        </w:rPr>
        <w:t>宁武县交通运输局2020年统筹整合资金8825万元，其中5878万元用于支付以前年度工程款（2018年贫困村道路维修工程、2019年脱贫攻坚农村公路维修建设工程、县道石家庄至黄道川公路改造工程、2016年农村公路拓宽改造</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lang w:val="en-US" w:eastAsia="zh-CN"/>
        </w:rPr>
        <w:t>村道养护及大中修及安防工程、2017年生命安全防护、公路水毁、拓宽改造及养护大中修工程、2017年农村公路畅返不畅、湾子里－大庙线路基路面改造工程、2018年县乡生命防护工程、2019年三大板块旅游公路改造工程、乡道秃兰妥至薛家洼公路改造工程、大庙至南沟庙线路基路面工程），剩余2947万元，用于2020年新实施项目包括2020年新实施的项目有宁武县经济技术园区新能源节能环保产业园科技路、2020年脱贫攻坚农村公路维修建设工程、2020年农村公路生命防护工程、宁武县经济技术园区转型发展园道路改造工程，除宁武县经济技术园区转型发展园道路改造工程未完工，其余3个项目全部完工</w:t>
      </w:r>
      <w:r>
        <w:rPr>
          <w:rFonts w:hint="eastAsia" w:ascii="仿宋_GB2312" w:hAnsi="仿宋_GB2312" w:eastAsia="仿宋_GB2312" w:cs="仿宋_GB2312"/>
          <w:sz w:val="28"/>
          <w:szCs w:val="28"/>
          <w:lang w:eastAsia="zh-CN"/>
        </w:rPr>
        <w:t>。</w:t>
      </w:r>
    </w:p>
    <w:bookmarkEnd w:id="19"/>
    <w:bookmarkEnd w:id="20"/>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textAlignment w:val="auto"/>
        <w:outlineLvl w:val="1"/>
        <w:rPr>
          <w:rFonts w:hint="eastAsia" w:ascii="仿宋_GB2312" w:hAnsi="仿宋_GB2312" w:eastAsia="仿宋_GB2312" w:cs="仿宋_GB2312"/>
          <w:b/>
          <w:bCs/>
          <w:i w:val="0"/>
          <w:iCs w:val="0"/>
          <w:caps w:val="0"/>
          <w:color w:val="000000"/>
          <w:spacing w:val="0"/>
          <w:sz w:val="28"/>
          <w:szCs w:val="28"/>
          <w:highlight w:val="none"/>
        </w:rPr>
      </w:pPr>
      <w:bookmarkStart w:id="21" w:name="_Toc12884"/>
      <w:bookmarkStart w:id="22" w:name="_Toc5967"/>
      <w:r>
        <w:rPr>
          <w:rFonts w:hint="eastAsia" w:ascii="楷体_GB2312" w:hAnsi="楷体_GB2312" w:eastAsia="楷体_GB2312" w:cs="楷体_GB2312"/>
          <w:i w:val="0"/>
          <w:iCs w:val="0"/>
          <w:caps w:val="0"/>
          <w:color w:val="000000"/>
          <w:spacing w:val="0"/>
          <w:sz w:val="28"/>
          <w:szCs w:val="28"/>
          <w:highlight w:val="none"/>
          <w:lang w:val="en-US" w:eastAsia="zh-CN"/>
        </w:rPr>
        <w:t>（三）项目</w:t>
      </w:r>
      <w:r>
        <w:rPr>
          <w:rFonts w:hint="eastAsia" w:ascii="楷体_GB2312" w:hAnsi="楷体_GB2312" w:eastAsia="楷体_GB2312" w:cs="楷体_GB2312"/>
          <w:i w:val="0"/>
          <w:iCs w:val="0"/>
          <w:caps w:val="0"/>
          <w:color w:val="000000"/>
          <w:spacing w:val="0"/>
          <w:sz w:val="28"/>
          <w:szCs w:val="28"/>
          <w:highlight w:val="none"/>
        </w:rPr>
        <w:t>资金投入和使用情况</w:t>
      </w:r>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2"/>
        <w:rPr>
          <w:rFonts w:ascii="仿宋_GB2312" w:hAnsi="仿宋_GB2312" w:eastAsia="仿宋_GB2312" w:cstheme="minorBidi"/>
          <w:b/>
          <w:bCs/>
          <w:kern w:val="2"/>
          <w:sz w:val="28"/>
          <w:szCs w:val="32"/>
          <w:lang w:val="en-US" w:eastAsia="zh-CN" w:bidi="ar-SA"/>
        </w:rPr>
      </w:pPr>
      <w:bookmarkStart w:id="23" w:name="_Toc13066"/>
      <w:bookmarkStart w:id="24" w:name="_Toc8895"/>
      <w:r>
        <w:rPr>
          <w:rFonts w:hint="eastAsia" w:ascii="仿宋_GB2312" w:hAnsi="仿宋_GB2312" w:eastAsia="仿宋_GB2312" w:cstheme="minorBidi"/>
          <w:b/>
          <w:bCs/>
          <w:kern w:val="2"/>
          <w:sz w:val="28"/>
          <w:szCs w:val="32"/>
          <w:lang w:val="en-US" w:eastAsia="zh-CN" w:bidi="ar-SA"/>
        </w:rPr>
        <w:t>1.项目资金投入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eastAsia="仿宋_GB2312"/>
          <w:sz w:val="28"/>
        </w:rPr>
      </w:pPr>
      <w:bookmarkStart w:id="25" w:name="_Toc513731590"/>
      <w:bookmarkStart w:id="26" w:name="_Toc513218635"/>
      <w:bookmarkStart w:id="27" w:name="_Toc9124"/>
      <w:r>
        <w:rPr>
          <w:rFonts w:hint="eastAsia" w:ascii="仿宋_GB2312" w:eastAsia="仿宋_GB2312"/>
          <w:sz w:val="28"/>
          <w:lang w:eastAsia="zh-CN"/>
        </w:rPr>
        <w:t>宁武县</w:t>
      </w:r>
      <w:r>
        <w:rPr>
          <w:rFonts w:hint="eastAsia" w:ascii="仿宋_GB2312" w:eastAsia="仿宋_GB2312"/>
          <w:sz w:val="28"/>
          <w:lang w:val="en-US" w:eastAsia="zh-CN"/>
        </w:rPr>
        <w:t>交通运输局</w:t>
      </w:r>
      <w:r>
        <w:rPr>
          <w:rFonts w:hint="eastAsia" w:ascii="仿宋_GB2312" w:eastAsia="仿宋_GB2312"/>
          <w:sz w:val="28"/>
          <w:lang w:eastAsia="zh-CN"/>
        </w:rPr>
        <w:t>2020年统筹</w:t>
      </w:r>
      <w:r>
        <w:rPr>
          <w:rFonts w:hint="eastAsia" w:ascii="仿宋_GB2312" w:eastAsia="仿宋_GB2312"/>
          <w:sz w:val="28"/>
        </w:rPr>
        <w:t>整合财政资金</w:t>
      </w:r>
      <w:r>
        <w:rPr>
          <w:rFonts w:hint="eastAsia" w:ascii="仿宋_GB2312" w:eastAsia="仿宋_GB2312"/>
          <w:sz w:val="28"/>
          <w:highlight w:val="none"/>
        </w:rPr>
        <w:t>8825万元</w:t>
      </w:r>
      <w:r>
        <w:rPr>
          <w:rFonts w:hint="eastAsia" w:ascii="仿宋_GB2312" w:eastAsia="仿宋_GB2312"/>
          <w:sz w:val="28"/>
        </w:rPr>
        <w:t>，共用于</w:t>
      </w:r>
      <w:r>
        <w:rPr>
          <w:rFonts w:hint="eastAsia" w:ascii="仿宋_GB2312" w:eastAsia="仿宋_GB2312"/>
          <w:sz w:val="28"/>
          <w:lang w:val="en-US" w:eastAsia="zh-CN"/>
        </w:rPr>
        <w:t>16</w:t>
      </w:r>
      <w:r>
        <w:rPr>
          <w:rFonts w:hint="eastAsia" w:ascii="仿宋_GB2312" w:eastAsia="仿宋_GB2312"/>
          <w:sz w:val="28"/>
        </w:rPr>
        <w:t>个项目。具体各项目预算资金详见表1-1。</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outlineLvl w:val="2"/>
        <w:rPr>
          <w:rFonts w:ascii="仿宋_GB2312" w:hAnsi="仿宋_GB2312" w:eastAsia="仿宋_GB2312" w:cstheme="minorBidi"/>
          <w:b/>
          <w:bCs/>
          <w:kern w:val="2"/>
          <w:sz w:val="28"/>
          <w:szCs w:val="32"/>
          <w:lang w:val="en-US" w:eastAsia="zh-CN" w:bidi="ar-SA"/>
        </w:rPr>
      </w:pPr>
      <w:r>
        <w:rPr>
          <w:rFonts w:hint="eastAsia" w:ascii="仿宋_GB2312" w:hAnsi="仿宋_GB2312" w:eastAsia="仿宋_GB2312" w:cstheme="minorBidi"/>
          <w:b/>
          <w:bCs/>
          <w:kern w:val="2"/>
          <w:sz w:val="28"/>
          <w:szCs w:val="32"/>
          <w:lang w:val="en-US" w:eastAsia="zh-CN" w:bidi="ar-SA"/>
        </w:rPr>
        <w:t>2.资金</w:t>
      </w:r>
      <w:bookmarkEnd w:id="25"/>
      <w:bookmarkEnd w:id="26"/>
      <w:bookmarkEnd w:id="27"/>
      <w:r>
        <w:rPr>
          <w:rFonts w:hint="eastAsia" w:ascii="仿宋_GB2312" w:hAnsi="仿宋_GB2312" w:eastAsia="仿宋_GB2312" w:cstheme="minorBidi"/>
          <w:b/>
          <w:bCs/>
          <w:kern w:val="2"/>
          <w:sz w:val="28"/>
          <w:szCs w:val="32"/>
          <w:lang w:val="en-US" w:eastAsia="zh-CN" w:bidi="ar-SA"/>
        </w:rPr>
        <w:t>使用情况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sz w:val="28"/>
        </w:rPr>
      </w:pPr>
      <w:r>
        <w:rPr>
          <w:rFonts w:hint="eastAsia" w:ascii="仿宋_GB2312" w:eastAsia="仿宋_GB2312"/>
          <w:sz w:val="28"/>
          <w:lang w:eastAsia="zh-CN"/>
        </w:rPr>
        <w:t>宁武县</w:t>
      </w:r>
      <w:r>
        <w:rPr>
          <w:rFonts w:hint="eastAsia" w:ascii="仿宋_GB2312" w:eastAsia="仿宋_GB2312"/>
          <w:sz w:val="28"/>
          <w:lang w:val="en-US" w:eastAsia="zh-CN"/>
        </w:rPr>
        <w:t>交通运输局</w:t>
      </w:r>
      <w:r>
        <w:rPr>
          <w:rFonts w:hint="eastAsia" w:ascii="仿宋_GB2312" w:eastAsia="仿宋_GB2312"/>
          <w:sz w:val="28"/>
          <w:lang w:eastAsia="zh-CN"/>
        </w:rPr>
        <w:t>2020年统筹</w:t>
      </w:r>
      <w:r>
        <w:rPr>
          <w:rFonts w:hint="eastAsia" w:ascii="仿宋_GB2312" w:eastAsia="仿宋_GB2312"/>
          <w:sz w:val="28"/>
        </w:rPr>
        <w:t>整合财政资金8825万元，截止20</w:t>
      </w:r>
      <w:r>
        <w:rPr>
          <w:rFonts w:hint="eastAsia" w:ascii="仿宋_GB2312" w:eastAsia="仿宋_GB2312"/>
          <w:sz w:val="28"/>
          <w:lang w:val="en-US" w:eastAsia="zh-CN"/>
        </w:rPr>
        <w:t>20</w:t>
      </w:r>
      <w:r>
        <w:rPr>
          <w:rFonts w:hint="eastAsia" w:ascii="仿宋_GB2312" w:eastAsia="仿宋_GB2312"/>
          <w:sz w:val="28"/>
        </w:rPr>
        <w:t>年12月31日实际支出8336.41万元。</w:t>
      </w:r>
      <w:r>
        <w:rPr>
          <w:rFonts w:hint="eastAsia" w:ascii="仿宋_GB2312" w:hAnsi="宋体" w:eastAsia="仿宋_GB2312" w:cs="仿宋"/>
          <w:color w:val="000000"/>
          <w:sz w:val="28"/>
        </w:rPr>
        <w:t>具体各项目资金使用情况</w:t>
      </w:r>
      <w:r>
        <w:rPr>
          <w:rFonts w:hint="eastAsia" w:ascii="仿宋_GB2312" w:eastAsia="仿宋_GB2312"/>
          <w:sz w:val="28"/>
        </w:rPr>
        <w:t>详见表1-1。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theme="minorBidi"/>
          <w:kern w:val="2"/>
          <w:sz w:val="28"/>
          <w:szCs w:val="24"/>
          <w:lang w:val="en-US" w:eastAsia="zh-CN" w:bidi="ar"/>
        </w:rPr>
      </w:pPr>
      <w:r>
        <w:rPr>
          <w:rFonts w:hint="eastAsia" w:ascii="宋体" w:hAnsi="宋体" w:eastAsia="宋体" w:cstheme="minorBidi"/>
          <w:kern w:val="2"/>
          <w:sz w:val="28"/>
          <w:szCs w:val="24"/>
          <w:lang w:val="en-US" w:eastAsia="zh-CN" w:bidi="ar"/>
        </w:rPr>
        <w:t>表1-1 宁武县交通运输局2020年统筹整合财政资金使用统计表资金</w:t>
      </w:r>
    </w:p>
    <w:p>
      <w:pPr>
        <w:keepNext w:val="0"/>
        <w:keepLines w:val="0"/>
        <w:pageBreakBefore w:val="0"/>
        <w:widowControl w:val="0"/>
        <w:kinsoku/>
        <w:wordWrap/>
        <w:overflowPunct/>
        <w:topLinePunct w:val="0"/>
        <w:autoSpaceDE/>
        <w:autoSpaceDN/>
        <w:bidi w:val="0"/>
        <w:adjustRightInd/>
        <w:snapToGrid/>
        <w:spacing w:before="0" w:after="157" w:afterLines="50" w:line="240" w:lineRule="auto"/>
        <w:ind w:firstLine="0" w:firstLineChars="0"/>
        <w:jc w:val="right"/>
        <w:textAlignment w:val="auto"/>
        <w:rPr>
          <w:rFonts w:hint="default" w:ascii="宋体" w:hAnsi="宋体" w:eastAsia="宋体" w:cstheme="minorBidi"/>
          <w:kern w:val="2"/>
          <w:sz w:val="28"/>
          <w:szCs w:val="24"/>
          <w:lang w:val="en-US" w:eastAsia="zh-CN" w:bidi="ar"/>
        </w:rPr>
      </w:pPr>
      <w:r>
        <w:rPr>
          <w:rFonts w:hint="eastAsia" w:ascii="宋体" w:hAnsi="宋体" w:eastAsia="宋体" w:cstheme="minorBidi"/>
          <w:kern w:val="2"/>
          <w:sz w:val="28"/>
          <w:szCs w:val="24"/>
          <w:lang w:val="en-US" w:eastAsia="zh-CN" w:bidi="ar"/>
        </w:rPr>
        <w:t>单位：万元</w:t>
      </w:r>
    </w:p>
    <w:tbl>
      <w:tblPr>
        <w:tblStyle w:val="15"/>
        <w:tblW w:w="0" w:type="auto"/>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933"/>
        <w:gridCol w:w="3671"/>
        <w:gridCol w:w="1545"/>
        <w:gridCol w:w="1665"/>
        <w:gridCol w:w="1511"/>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tblHeader/>
          <w:jc w:val="center"/>
        </w:trPr>
        <w:tc>
          <w:tcPr>
            <w:tcW w:w="933"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宋体" w:hAnsi="宋体" w:eastAsia="宋体" w:cs="宋体"/>
                <w:b/>
                <w:bCs/>
                <w:i w:val="0"/>
                <w:iCs w:val="0"/>
                <w:color w:val="auto"/>
                <w:sz w:val="24"/>
                <w:szCs w:val="24"/>
                <w:u w:val="none"/>
                <w:shd w:val="clear" w:color="FFFFFF" w:fill="D9D9D9"/>
              </w:rPr>
            </w:pPr>
            <w:r>
              <w:rPr>
                <w:rFonts w:hint="eastAsia" w:ascii="宋体" w:hAnsi="宋体" w:eastAsia="宋体" w:cs="宋体"/>
                <w:b/>
                <w:bCs/>
                <w:i w:val="0"/>
                <w:iCs w:val="0"/>
                <w:color w:val="auto"/>
                <w:kern w:val="0"/>
                <w:sz w:val="24"/>
                <w:szCs w:val="24"/>
                <w:u w:val="none"/>
                <w:shd w:val="clear" w:color="FFFFFF" w:fill="BEBEBE" w:themeFill="background1" w:themeFillShade="BF"/>
                <w:lang w:val="en-US" w:eastAsia="zh-CN" w:bidi="ar"/>
              </w:rPr>
              <w:t>序号</w:t>
            </w:r>
          </w:p>
        </w:tc>
        <w:tc>
          <w:tcPr>
            <w:tcW w:w="3671"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shd w:val="clear" w:color="FFFFFF" w:fill="D9D9D9"/>
              </w:rPr>
            </w:pPr>
            <w:r>
              <w:rPr>
                <w:rFonts w:hint="eastAsia" w:ascii="宋体" w:hAnsi="宋体" w:eastAsia="宋体" w:cs="宋体"/>
                <w:b/>
                <w:bCs/>
                <w:i w:val="0"/>
                <w:iCs w:val="0"/>
                <w:color w:val="auto"/>
                <w:kern w:val="0"/>
                <w:sz w:val="24"/>
                <w:szCs w:val="24"/>
                <w:u w:val="none"/>
                <w:shd w:val="clear" w:color="auto" w:fill="auto"/>
                <w:lang w:val="en-US" w:eastAsia="zh-CN" w:bidi="ar"/>
              </w:rPr>
              <w:t>项目名称</w:t>
            </w:r>
          </w:p>
        </w:tc>
        <w:tc>
          <w:tcPr>
            <w:tcW w:w="1545"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shd w:val="clear" w:color="FFFFFF" w:fill="D9D9D9"/>
              </w:rPr>
            </w:pPr>
            <w:r>
              <w:rPr>
                <w:rFonts w:hint="eastAsia" w:ascii="宋体" w:hAnsi="宋体" w:eastAsia="宋体" w:cs="宋体"/>
                <w:b/>
                <w:bCs/>
                <w:i w:val="0"/>
                <w:iCs w:val="0"/>
                <w:color w:val="auto"/>
                <w:kern w:val="0"/>
                <w:sz w:val="24"/>
                <w:szCs w:val="24"/>
                <w:u w:val="none"/>
                <w:shd w:val="clear" w:color="FFFFFF" w:fill="BEBEBE" w:themeFill="background1" w:themeFillShade="BF"/>
                <w:lang w:val="en-US" w:eastAsia="zh-CN" w:bidi="ar"/>
              </w:rPr>
              <w:t>预算金额</w:t>
            </w:r>
          </w:p>
        </w:tc>
        <w:tc>
          <w:tcPr>
            <w:tcW w:w="1665"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shd w:val="clear" w:color="FFFFFF" w:fill="D9D9D9"/>
              </w:rPr>
            </w:pPr>
            <w:r>
              <w:rPr>
                <w:rFonts w:hint="eastAsia" w:ascii="宋体" w:hAnsi="宋体" w:eastAsia="宋体" w:cs="宋体"/>
                <w:b/>
                <w:bCs/>
                <w:i w:val="0"/>
                <w:iCs w:val="0"/>
                <w:color w:val="auto"/>
                <w:kern w:val="0"/>
                <w:sz w:val="24"/>
                <w:szCs w:val="24"/>
                <w:u w:val="none"/>
                <w:shd w:val="clear" w:color="FFFFFF" w:fill="BEBEBE" w:themeFill="background1" w:themeFillShade="BF"/>
                <w:lang w:val="en-US" w:eastAsia="zh-CN" w:bidi="ar"/>
              </w:rPr>
              <w:t>支付金额</w:t>
            </w:r>
          </w:p>
        </w:tc>
        <w:tc>
          <w:tcPr>
            <w:tcW w:w="1511"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shd w:val="clear" w:color="FFFFFF" w:fill="D9D9D9"/>
              </w:rPr>
            </w:pPr>
            <w:r>
              <w:rPr>
                <w:rFonts w:hint="eastAsia" w:ascii="宋体" w:hAnsi="宋体" w:eastAsia="宋体" w:cs="宋体"/>
                <w:b/>
                <w:bCs/>
                <w:i w:val="0"/>
                <w:iCs w:val="0"/>
                <w:color w:val="auto"/>
                <w:kern w:val="0"/>
                <w:sz w:val="24"/>
                <w:szCs w:val="24"/>
                <w:u w:val="none"/>
                <w:shd w:val="clear" w:color="FFFFFF" w:fill="BEBEBE" w:themeFill="background1" w:themeFillShade="BF"/>
                <w:lang w:val="en-US" w:eastAsia="zh-CN" w:bidi="ar"/>
              </w:rPr>
              <w:t>结余</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"'012018年贫困村道路维修工程'!A1"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2018年贫困村道路维修工程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917.56</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917.56</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"'02 2019年脱贫攻坚农村公路维修建设工程'!A1"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2019年脱贫攻坚农村公路维修建设工程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1600.2</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1600.2</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"'03 县道石家庄至黄道川公路改造工程'!A1"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县道石家庄至黄道川公路改造工程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1632.22</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1632.22</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"'04 2016年农村公路拓宽改造，村道养护及大中修及安防工程'!A1"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2016年农村公路拓宽改造，村道养护及大中修及安防工程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131.41</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131.41</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"'052017年生命安全防护、公路水毁、拓宽改造及养护大中修工程'!A1"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2017年生命安全防护、公路水毁、拓宽改造及养护大中修工程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183.29</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183.29</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"'06 2017年农村公路畅返不畅'!A1"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2017年农村公路畅返不畅</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356</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337.3</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18.7</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"'07湾子里-大庙线路基路面改造工程'!A1"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湾子里</w:t>
            </w:r>
            <w:r>
              <w:rPr>
                <w:rFonts w:hint="eastAsia" w:ascii="宋体" w:hAnsi="宋体" w:eastAsia="宋体" w:cs="宋体"/>
                <w:i w:val="0"/>
                <w:iCs w:val="0"/>
                <w:color w:val="auto"/>
                <w:sz w:val="24"/>
                <w:szCs w:val="24"/>
                <w:u w:val="none"/>
                <w:lang w:eastAsia="zh-CN"/>
              </w:rPr>
              <w:t>－</w:t>
            </w:r>
            <w:r>
              <w:rPr>
                <w:rFonts w:hint="eastAsia" w:ascii="宋体" w:hAnsi="宋体" w:eastAsia="宋体" w:cs="宋体"/>
                <w:i w:val="0"/>
                <w:iCs w:val="0"/>
                <w:color w:val="auto"/>
                <w:sz w:val="24"/>
                <w:szCs w:val="24"/>
                <w:u w:val="none"/>
              </w:rPr>
              <w:t>大庙线路基路面改造工程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"'08 2018 县乡生命防护工程'!A1"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2018县乡生命防护工程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124.23</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124.23</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"'09 2019年三大板块旅游公路改造工程'!A1"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2019年三大板块旅游公路改造工程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800</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664.93</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135.07</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"'10 乡道秃兰妥至薛家洼公路改造工程'!A1"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乡道秃兰妥至薛家洼公路改造工程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269</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"'11 大庙至南沟庙线路基路面工程'!A1"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大庙至南沟庙线路基路面工程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"'12 宁武县经济技术园区新能源节能环保产业园科技路'!A1"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宁武县经济技术园区新能源节能环保产业园科技路</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966.2</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966.2</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"'13 2020年脱贫攻坚农村公路维修建设工程'!A1"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2020年脱贫攻坚农村公路维修建设工程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896.81</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896.81</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"'14 2020年农村公路生命防护工程'!A1"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2020年农村公路生命防护工程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313.08</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313.08</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"'15 北屯至李家奄乡道改造工程'!A1"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北屯至李家奄乡道改造工程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933"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367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 \l "'16 宁武县经济技术园区转型发展园道路改造工程'!A1" </w:instrText>
            </w:r>
            <w:r>
              <w:rPr>
                <w:rFonts w:hint="eastAsia" w:ascii="宋体" w:hAnsi="宋体" w:eastAsia="宋体" w:cs="宋体"/>
                <w:i w:val="0"/>
                <w:iCs w:val="0"/>
                <w:color w:val="auto"/>
                <w:kern w:val="0"/>
                <w:sz w:val="24"/>
                <w:szCs w:val="24"/>
                <w:u w:val="none"/>
                <w:lang w:val="en-US" w:eastAsia="zh-CN" w:bidi="ar"/>
              </w:rPr>
              <w:fldChar w:fldCharType="separate"/>
            </w:r>
            <w:r>
              <w:rPr>
                <w:rFonts w:hint="eastAsia" w:ascii="宋体" w:hAnsi="宋体" w:eastAsia="宋体" w:cs="宋体"/>
                <w:i w:val="0"/>
                <w:iCs w:val="0"/>
                <w:color w:val="auto"/>
                <w:sz w:val="24"/>
                <w:szCs w:val="24"/>
                <w:u w:val="none"/>
              </w:rPr>
              <w:t>宁武县经济技术园区转型发展园道路改造工程</w:t>
            </w:r>
            <w:r>
              <w:rPr>
                <w:rFonts w:hint="eastAsia" w:ascii="宋体" w:hAnsi="宋体" w:eastAsia="宋体" w:cs="宋体"/>
                <w:i w:val="0"/>
                <w:iCs w:val="0"/>
                <w:color w:val="auto"/>
                <w:kern w:val="0"/>
                <w:sz w:val="24"/>
                <w:szCs w:val="24"/>
                <w:u w:val="none"/>
                <w:lang w:val="en-US" w:eastAsia="zh-CN" w:bidi="ar"/>
              </w:rPr>
              <w:fldChar w:fldCharType="end"/>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350</w:t>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282.2</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67.8</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4604" w:type="dxa"/>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合计</w:t>
            </w:r>
          </w:p>
        </w:tc>
        <w:tc>
          <w:tcPr>
            <w:tcW w:w="15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4"/>
                <w:szCs w:val="24"/>
                <w:u w:val="none"/>
                <w:lang w:val="en-US" w:eastAsia="zh-CN" w:bidi="ar"/>
              </w:rPr>
            </w:pPr>
            <w:r>
              <w:rPr>
                <w:rFonts w:hint="default" w:ascii="宋体" w:hAnsi="宋体" w:eastAsia="宋体" w:cs="宋体"/>
                <w:i w:val="0"/>
                <w:iCs w:val="0"/>
                <w:color w:val="auto"/>
                <w:kern w:val="0"/>
                <w:sz w:val="24"/>
                <w:szCs w:val="24"/>
                <w:u w:val="none"/>
                <w:lang w:eastAsia="zh-CN" w:bidi="ar"/>
              </w:rPr>
              <w:fldChar w:fldCharType="begin"/>
            </w:r>
            <w:r>
              <w:rPr>
                <w:rFonts w:hint="default" w:ascii="宋体" w:hAnsi="宋体" w:eastAsia="宋体" w:cs="宋体"/>
                <w:i w:val="0"/>
                <w:iCs w:val="0"/>
                <w:color w:val="auto"/>
                <w:kern w:val="0"/>
                <w:sz w:val="24"/>
                <w:szCs w:val="24"/>
                <w:u w:val="none"/>
                <w:lang w:eastAsia="zh-CN" w:bidi="ar"/>
              </w:rPr>
              <w:instrText xml:space="preserve"> =SUM(ABOVE) \* MERGEFORMAT </w:instrText>
            </w:r>
            <w:r>
              <w:rPr>
                <w:rFonts w:hint="default" w:ascii="宋体" w:hAnsi="宋体" w:eastAsia="宋体" w:cs="宋体"/>
                <w:i w:val="0"/>
                <w:iCs w:val="0"/>
                <w:color w:val="auto"/>
                <w:kern w:val="0"/>
                <w:sz w:val="24"/>
                <w:szCs w:val="24"/>
                <w:u w:val="none"/>
                <w:lang w:eastAsia="zh-CN" w:bidi="ar"/>
              </w:rPr>
              <w:fldChar w:fldCharType="separate"/>
            </w:r>
            <w:r>
              <w:rPr>
                <w:rFonts w:hint="default" w:ascii="宋体" w:hAnsi="宋体" w:eastAsia="宋体" w:cs="宋体"/>
                <w:i w:val="0"/>
                <w:iCs w:val="0"/>
                <w:color w:val="auto"/>
                <w:kern w:val="0"/>
                <w:sz w:val="24"/>
                <w:szCs w:val="24"/>
                <w:u w:val="none"/>
                <w:lang w:eastAsia="zh-CN" w:bidi="ar"/>
              </w:rPr>
              <w:t>8825</w:t>
            </w:r>
            <w:r>
              <w:rPr>
                <w:rFonts w:hint="default" w:ascii="宋体" w:hAnsi="宋体" w:eastAsia="宋体" w:cs="宋体"/>
                <w:i w:val="0"/>
                <w:iCs w:val="0"/>
                <w:color w:val="auto"/>
                <w:kern w:val="0"/>
                <w:sz w:val="24"/>
                <w:szCs w:val="24"/>
                <w:u w:val="none"/>
                <w:lang w:eastAsia="zh-CN" w:bidi="ar"/>
              </w:rPr>
              <w:fldChar w:fldCharType="end"/>
            </w:r>
          </w:p>
        </w:tc>
        <w:tc>
          <w:tcPr>
            <w:tcW w:w="16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8336.43</w:t>
            </w:r>
          </w:p>
        </w:tc>
        <w:tc>
          <w:tcPr>
            <w:tcW w:w="151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488.57</w:t>
            </w:r>
          </w:p>
        </w:tc>
      </w:tr>
    </w:tbl>
    <w:p>
      <w:pPr>
        <w:pStyle w:val="1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r>
        <w:rPr>
          <w:rFonts w:hint="eastAsia" w:ascii="楷体_GB2312" w:hAnsi="楷体_GB2312" w:eastAsia="楷体_GB2312" w:cs="楷体_GB2312"/>
          <w:i w:val="0"/>
          <w:iCs w:val="0"/>
          <w:caps w:val="0"/>
          <w:color w:val="000000"/>
          <w:spacing w:val="0"/>
          <w:sz w:val="28"/>
          <w:szCs w:val="28"/>
          <w:highlight w:val="none"/>
        </w:rPr>
        <w:t>（</w:t>
      </w:r>
      <w:r>
        <w:rPr>
          <w:rFonts w:hint="eastAsia" w:ascii="楷体_GB2312" w:hAnsi="楷体_GB2312" w:eastAsia="楷体_GB2312" w:cs="楷体_GB2312"/>
          <w:i w:val="0"/>
          <w:iCs w:val="0"/>
          <w:caps w:val="0"/>
          <w:color w:val="000000"/>
          <w:spacing w:val="0"/>
          <w:sz w:val="28"/>
          <w:szCs w:val="28"/>
          <w:highlight w:val="none"/>
          <w:lang w:val="en-US" w:eastAsia="zh-CN"/>
        </w:rPr>
        <w:t>四</w:t>
      </w:r>
      <w:r>
        <w:rPr>
          <w:rFonts w:hint="eastAsia" w:ascii="楷体_GB2312" w:hAnsi="楷体_GB2312" w:eastAsia="楷体_GB2312" w:cs="楷体_GB2312"/>
          <w:i w:val="0"/>
          <w:iCs w:val="0"/>
          <w:caps w:val="0"/>
          <w:color w:val="000000"/>
          <w:spacing w:val="0"/>
          <w:sz w:val="28"/>
          <w:szCs w:val="28"/>
          <w:highlight w:val="none"/>
        </w:rPr>
        <w:t>）项目绩效目标</w:t>
      </w:r>
      <w:bookmarkEnd w:id="23"/>
      <w:bookmarkEnd w:id="24"/>
    </w:p>
    <w:p>
      <w:pPr>
        <w:keepNext w:val="0"/>
        <w:keepLines w:val="0"/>
        <w:pageBreakBefore w:val="0"/>
        <w:widowControl w:val="0"/>
        <w:kinsoku/>
        <w:wordWrap/>
        <w:overflowPunct/>
        <w:topLinePunct w:val="0"/>
        <w:autoSpaceDE w:val="0"/>
        <w:autoSpaceDN w:val="0"/>
        <w:bidi w:val="0"/>
        <w:adjustRightInd/>
        <w:snapToGrid/>
        <w:spacing w:after="0" w:line="360" w:lineRule="auto"/>
        <w:ind w:firstLine="562" w:firstLineChars="200"/>
        <w:jc w:val="both"/>
        <w:textAlignment w:val="auto"/>
        <w:rPr>
          <w:rFonts w:ascii="仿宋" w:hAnsi="仿宋" w:eastAsia="仿宋" w:cs="仿宋_GB2312"/>
          <w:b/>
          <w:sz w:val="28"/>
          <w:szCs w:val="32"/>
        </w:rPr>
      </w:pPr>
      <w:r>
        <w:rPr>
          <w:rFonts w:hint="eastAsia" w:ascii="仿宋" w:hAnsi="仿宋" w:eastAsia="仿宋" w:cs="仿宋_GB2312"/>
          <w:b/>
          <w:sz w:val="28"/>
          <w:szCs w:val="32"/>
        </w:rPr>
        <w:t>1</w:t>
      </w:r>
      <w:r>
        <w:rPr>
          <w:rFonts w:hint="eastAsia" w:ascii="仿宋_GB2312" w:eastAsia="仿宋_GB2312" w:cs="仿宋_GB2312"/>
          <w:b/>
          <w:sz w:val="28"/>
          <w:szCs w:val="32"/>
          <w:lang w:eastAsia="zh-CN"/>
        </w:rPr>
        <w:t>.</w:t>
      </w:r>
      <w:r>
        <w:rPr>
          <w:rFonts w:hint="eastAsia" w:ascii="仿宋" w:hAnsi="仿宋" w:eastAsia="仿宋" w:cs="仿宋_GB2312"/>
          <w:b/>
          <w:sz w:val="28"/>
          <w:szCs w:val="32"/>
        </w:rPr>
        <w:t>总体目标</w:t>
      </w:r>
    </w:p>
    <w:p>
      <w:pPr>
        <w:keepNext w:val="0"/>
        <w:keepLines w:val="0"/>
        <w:pageBreakBefore w:val="0"/>
        <w:widowControl w:val="0"/>
        <w:tabs>
          <w:tab w:val="left" w:pos="3528"/>
        </w:tabs>
        <w:kinsoku/>
        <w:wordWrap/>
        <w:overflowPunct/>
        <w:topLinePunct w:val="0"/>
        <w:autoSpaceDE w:val="0"/>
        <w:autoSpaceDN w:val="0"/>
        <w:bidi w:val="0"/>
        <w:adjustRightInd/>
        <w:snapToGrid/>
        <w:spacing w:after="0" w:line="360" w:lineRule="auto"/>
        <w:ind w:left="0" w:leftChars="0" w:right="0" w:firstLine="560" w:firstLineChars="200"/>
        <w:jc w:val="both"/>
        <w:textAlignment w:val="auto"/>
        <w:rPr>
          <w:rFonts w:hint="eastAsia" w:ascii="仿宋_GB2312" w:hAnsi="仿宋_GB2312" w:eastAsia="仿宋_GB2312" w:cs="仿宋_GB2312"/>
          <w:b/>
          <w:sz w:val="28"/>
          <w:szCs w:val="28"/>
        </w:rPr>
      </w:pPr>
      <w:r>
        <w:rPr>
          <w:rFonts w:hint="eastAsia" w:ascii="仿宋_GB2312" w:eastAsia="仿宋_GB2312"/>
          <w:sz w:val="28"/>
          <w:highlight w:val="none"/>
          <w:lang w:val="en-US" w:eastAsia="zh-CN"/>
        </w:rPr>
        <w:t>在宁武县交通运输局等各级各部门的大力支持下，有序推进低等级公路升级改造，解决农村公路等级低，路网不完善等问题，实现农村公路的提档升级，全力推动农村公路建好、管好、养好、运营好协调发展，为实施乡村振兴，巩固脱贫攻坚成果等重大战略提供交通支撑。</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firstLine="562" w:firstLineChars="200"/>
        <w:jc w:val="both"/>
        <w:textAlignment w:val="auto"/>
        <w:rPr>
          <w:rFonts w:ascii="仿宋_GB2312" w:eastAsia="仿宋_GB2312"/>
          <w:b/>
          <w:bCs/>
          <w:sz w:val="28"/>
        </w:rPr>
      </w:pPr>
      <w:r>
        <w:rPr>
          <w:rFonts w:hint="eastAsia" w:ascii="仿宋_GB2312" w:eastAsia="仿宋_GB2312"/>
          <w:b/>
          <w:bCs/>
          <w:sz w:val="28"/>
          <w:lang w:val="en-US" w:eastAsia="zh-CN"/>
        </w:rPr>
        <w:t>2.具体</w:t>
      </w:r>
      <w:r>
        <w:rPr>
          <w:rFonts w:ascii="仿宋_GB2312" w:eastAsia="仿宋_GB2312"/>
          <w:b/>
          <w:bCs/>
          <w:sz w:val="28"/>
        </w:rPr>
        <w:t>目标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1.按照项目批复时间建设完成，并及时组织交工验收，且验收合格率达到100%；</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2.项目的实施过程符合相关程序且能够达到质量控制标准；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3.全县建制村全部实现通客车，通车率达100%；</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4.覆盖县、乡、村道的“路长制”体系全面建立；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0" w:firstLineChars="200"/>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5.辖区内建制村</w:t>
      </w:r>
      <w:r>
        <w:rPr>
          <w:rFonts w:hint="eastAsia" w:ascii="仿宋_GB2312" w:hAnsi="仿宋_GB2312" w:eastAsia="仿宋_GB2312" w:cs="仿宋_GB2312"/>
          <w:kern w:val="2"/>
          <w:sz w:val="28"/>
          <w:szCs w:val="28"/>
          <w:highlight w:val="none"/>
          <w:lang w:val="en-US" w:eastAsia="zh-CN" w:bidi="ar-SA"/>
        </w:rPr>
        <w:t>爱路、护路</w:t>
      </w:r>
      <w:r>
        <w:rPr>
          <w:rFonts w:hint="eastAsia" w:ascii="仿宋_GB2312" w:hAnsi="仿宋_GB2312" w:eastAsia="仿宋_GB2312" w:cs="仿宋_GB2312"/>
          <w:kern w:val="2"/>
          <w:sz w:val="28"/>
          <w:szCs w:val="28"/>
          <w:lang w:val="en-US" w:eastAsia="zh-CN" w:bidi="ar-SA"/>
        </w:rPr>
        <w:t>安全出行的乡规，村规民约制度全面建立；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6.建后路面完好率达100%；</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rPr>
          <w:rFonts w:hint="eastAsia" w:ascii="仿宋_GB2312" w:eastAsia="仿宋_GB2312"/>
          <w:sz w:val="28"/>
          <w:lang w:val="en-US" w:eastAsia="zh-CN"/>
        </w:rPr>
      </w:pPr>
      <w:r>
        <w:rPr>
          <w:rFonts w:hint="eastAsia" w:ascii="仿宋_GB2312" w:hAnsi="仿宋_GB2312" w:eastAsia="仿宋_GB2312" w:cs="仿宋_GB2312"/>
          <w:kern w:val="2"/>
          <w:sz w:val="28"/>
          <w:szCs w:val="28"/>
          <w:lang w:val="en-US" w:eastAsia="zh-CN" w:bidi="ar-SA"/>
        </w:rPr>
        <w:t>7.沿线群众满意度达90%以上（含90%）。</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0"/>
        <w:rPr>
          <w:rFonts w:hint="eastAsia" w:ascii="黑体" w:hAnsi="黑体" w:eastAsia="黑体" w:cs="黑体"/>
          <w:i w:val="0"/>
          <w:iCs w:val="0"/>
          <w:caps w:val="0"/>
          <w:color w:val="000000"/>
          <w:spacing w:val="0"/>
          <w:sz w:val="28"/>
          <w:szCs w:val="28"/>
          <w:highlight w:val="none"/>
        </w:rPr>
      </w:pPr>
      <w:bookmarkStart w:id="28" w:name="_Toc26949"/>
      <w:bookmarkStart w:id="29" w:name="_Toc10736"/>
      <w:r>
        <w:rPr>
          <w:rFonts w:hint="eastAsia" w:ascii="黑体" w:hAnsi="黑体" w:eastAsia="黑体" w:cs="黑体"/>
          <w:i w:val="0"/>
          <w:iCs w:val="0"/>
          <w:caps w:val="0"/>
          <w:color w:val="000000"/>
          <w:spacing w:val="0"/>
          <w:sz w:val="28"/>
          <w:szCs w:val="28"/>
          <w:highlight w:val="none"/>
        </w:rPr>
        <w:t>二、</w:t>
      </w:r>
      <w:r>
        <w:rPr>
          <w:rFonts w:hint="eastAsia" w:ascii="黑体" w:hAnsi="黑体" w:eastAsia="黑体" w:cs="黑体"/>
          <w:i w:val="0"/>
          <w:iCs w:val="0"/>
          <w:caps w:val="0"/>
          <w:color w:val="000000"/>
          <w:spacing w:val="0"/>
          <w:sz w:val="28"/>
          <w:szCs w:val="28"/>
          <w:highlight w:val="none"/>
          <w:lang w:val="en-US" w:eastAsia="zh-CN"/>
        </w:rPr>
        <w:t>绩效评价</w:t>
      </w:r>
      <w:r>
        <w:rPr>
          <w:rFonts w:hint="eastAsia" w:ascii="黑体" w:hAnsi="黑体" w:eastAsia="黑体" w:cs="黑体"/>
          <w:i w:val="0"/>
          <w:iCs w:val="0"/>
          <w:caps w:val="0"/>
          <w:color w:val="000000"/>
          <w:spacing w:val="0"/>
          <w:sz w:val="28"/>
          <w:szCs w:val="28"/>
          <w:highlight w:val="none"/>
        </w:rPr>
        <w:t>工作开展情况</w:t>
      </w:r>
      <w:bookmarkEnd w:id="28"/>
      <w:bookmarkEnd w:id="29"/>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000000"/>
          <w:spacing w:val="0"/>
          <w:sz w:val="28"/>
          <w:szCs w:val="28"/>
          <w:highlight w:val="none"/>
        </w:rPr>
      </w:pPr>
      <w:bookmarkStart w:id="30" w:name="_Toc16873"/>
      <w:bookmarkStart w:id="31" w:name="_Toc31341"/>
      <w:r>
        <w:rPr>
          <w:rFonts w:hint="eastAsia" w:ascii="楷体_GB2312" w:hAnsi="楷体_GB2312" w:eastAsia="楷体_GB2312" w:cs="楷体_GB2312"/>
          <w:i w:val="0"/>
          <w:iCs w:val="0"/>
          <w:caps w:val="0"/>
          <w:color w:val="000000"/>
          <w:spacing w:val="0"/>
          <w:sz w:val="28"/>
          <w:szCs w:val="28"/>
          <w:highlight w:val="none"/>
        </w:rPr>
        <w:t>（一）评价目的</w:t>
      </w:r>
      <w:bookmarkEnd w:id="30"/>
      <w:bookmarkEnd w:id="31"/>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本次绩效评价依据</w:t>
      </w:r>
      <w:r>
        <w:rPr>
          <w:rFonts w:hint="eastAsia" w:ascii="仿宋_GB2312" w:hAnsi="仿宋_GB2312" w:eastAsia="仿宋_GB2312" w:cs="仿宋_GB2312"/>
          <w:i w:val="0"/>
          <w:iCs w:val="0"/>
          <w:caps w:val="0"/>
          <w:color w:val="000000"/>
          <w:spacing w:val="0"/>
          <w:sz w:val="28"/>
          <w:szCs w:val="27"/>
          <w:highlight w:val="none"/>
          <w:lang w:val="en-US" w:eastAsia="zh-CN"/>
        </w:rPr>
        <w:t>《宁武县财政局关于开展2020年度项目支出绩效评价工作的通知》（宁财字〔2020〕13号）</w:t>
      </w:r>
      <w:r>
        <w:rPr>
          <w:rFonts w:hint="eastAsia" w:ascii="仿宋_GB2312" w:hAnsi="仿宋_GB2312" w:eastAsia="仿宋_GB2312" w:cs="仿宋_GB2312"/>
          <w:i w:val="0"/>
          <w:iCs w:val="0"/>
          <w:caps w:val="0"/>
          <w:color w:val="auto"/>
          <w:spacing w:val="0"/>
          <w:sz w:val="28"/>
          <w:szCs w:val="28"/>
          <w:highlight w:val="none"/>
          <w:lang w:val="en-US" w:eastAsia="zh-CN"/>
        </w:rPr>
        <w:t>，对宁武县交通局2020年统筹整合财政资金进行绩效评价。通过预算绩效评价，及时发现问题，总结经验，提出改进意见：一是为政府相关决策及下一年度预算安排提供依据；二是为交通局</w:t>
      </w:r>
      <w:r>
        <w:rPr>
          <w:rFonts w:hint="eastAsia" w:ascii="仿宋_GB2312" w:hAnsi="仿宋_GB2312" w:eastAsia="仿宋_GB2312" w:cs="仿宋_GB2312"/>
          <w:i w:val="0"/>
          <w:iCs w:val="0"/>
          <w:caps w:val="0"/>
          <w:color w:val="auto"/>
          <w:spacing w:val="0"/>
          <w:sz w:val="28"/>
          <w:szCs w:val="28"/>
          <w:highlight w:val="none"/>
          <w:u w:val="none"/>
          <w:lang w:val="en-US" w:eastAsia="zh-CN"/>
        </w:rPr>
        <w:t>掌握项目动态、优化项目信息反馈机制、加强项目监管，进一步修</w:t>
      </w:r>
      <w:r>
        <w:rPr>
          <w:rFonts w:hint="eastAsia" w:ascii="仿宋_GB2312" w:hAnsi="仿宋_GB2312" w:eastAsia="仿宋_GB2312" w:cs="仿宋_GB2312"/>
          <w:i w:val="0"/>
          <w:iCs w:val="0"/>
          <w:caps w:val="0"/>
          <w:color w:val="auto"/>
          <w:spacing w:val="0"/>
          <w:sz w:val="28"/>
          <w:szCs w:val="28"/>
          <w:highlight w:val="none"/>
          <w:lang w:val="en-US" w:eastAsia="zh-CN"/>
        </w:rPr>
        <w:t>改完善交通局2020年统筹整合财政资金提供参考。</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8"/>
          <w:highlight w:val="none"/>
          <w:lang w:val="en-US" w:eastAsia="zh-CN"/>
        </w:rPr>
      </w:pPr>
      <w:bookmarkStart w:id="32" w:name="_Toc13760"/>
      <w:bookmarkStart w:id="33" w:name="_Toc14905"/>
      <w:r>
        <w:rPr>
          <w:rFonts w:hint="eastAsia" w:ascii="楷体_GB2312" w:hAnsi="楷体_GB2312" w:eastAsia="楷体_GB2312" w:cs="楷体_GB2312"/>
          <w:i w:val="0"/>
          <w:iCs w:val="0"/>
          <w:caps w:val="0"/>
          <w:color w:val="000000"/>
          <w:spacing w:val="0"/>
          <w:sz w:val="28"/>
          <w:szCs w:val="28"/>
          <w:highlight w:val="none"/>
          <w:lang w:val="en-US" w:eastAsia="zh-CN"/>
        </w:rPr>
        <w:t>（二）评价对象和范围</w:t>
      </w:r>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仿宋_GB2312" w:eastAsia="仿宋_GB2312"/>
          <w:sz w:val="28"/>
        </w:rPr>
      </w:pPr>
      <w:bookmarkStart w:id="34" w:name="_Toc3884"/>
      <w:bookmarkStart w:id="35" w:name="_Toc19512"/>
      <w:r>
        <w:rPr>
          <w:rFonts w:hint="eastAsia" w:ascii="仿宋_GB2312" w:eastAsia="仿宋_GB2312"/>
          <w:sz w:val="28"/>
        </w:rPr>
        <w:t>本次绩效评价的对象是</w:t>
      </w:r>
      <w:r>
        <w:rPr>
          <w:rFonts w:hint="eastAsia" w:ascii="仿宋_GB2312" w:eastAsia="仿宋_GB2312"/>
          <w:sz w:val="28"/>
          <w:lang w:eastAsia="zh-CN"/>
        </w:rPr>
        <w:t>宁武县</w:t>
      </w:r>
      <w:r>
        <w:rPr>
          <w:rFonts w:hint="eastAsia" w:ascii="仿宋_GB2312" w:eastAsia="仿宋_GB2312"/>
          <w:sz w:val="28"/>
          <w:lang w:val="en-US" w:eastAsia="zh-CN"/>
        </w:rPr>
        <w:t>交通运输局</w:t>
      </w:r>
      <w:r>
        <w:rPr>
          <w:rFonts w:hint="eastAsia" w:ascii="仿宋_GB2312" w:eastAsia="仿宋_GB2312"/>
          <w:sz w:val="28"/>
          <w:lang w:eastAsia="zh-CN"/>
        </w:rPr>
        <w:t>2020年统筹</w:t>
      </w:r>
      <w:r>
        <w:rPr>
          <w:rFonts w:hint="eastAsia" w:ascii="仿宋_GB2312" w:eastAsia="仿宋_GB2312"/>
          <w:sz w:val="28"/>
        </w:rPr>
        <w:t>整合财政资金8336.43</w:t>
      </w:r>
      <w:r>
        <w:rPr>
          <w:rFonts w:hint="eastAsia" w:ascii="仿宋_GB2312" w:eastAsia="仿宋_GB2312"/>
          <w:sz w:val="28"/>
          <w:lang w:val="en-US" w:eastAsia="zh-CN"/>
        </w:rPr>
        <w:t>万</w:t>
      </w:r>
      <w:r>
        <w:rPr>
          <w:rFonts w:hint="eastAsia" w:ascii="仿宋_GB2312" w:eastAsia="仿宋_GB2312"/>
          <w:sz w:val="28"/>
        </w:rPr>
        <w:t>元，与此同时，对财政资金的监督、管理使用进行评价，根据评价结果，提出相关政策性意见。</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1"/>
        <w:rPr>
          <w:rFonts w:hint="eastAsia" w:ascii="楷体_GB2312" w:hAnsi="楷体_GB2312" w:eastAsia="楷体_GB2312" w:cs="楷体_GB2312"/>
          <w:i w:val="0"/>
          <w:iCs w:val="0"/>
          <w:caps w:val="0"/>
          <w:color w:val="000000"/>
          <w:spacing w:val="0"/>
          <w:sz w:val="28"/>
          <w:szCs w:val="28"/>
          <w:highlight w:val="none"/>
          <w:lang w:val="en-US" w:eastAsia="zh-CN"/>
        </w:rPr>
      </w:pPr>
      <w:r>
        <w:rPr>
          <w:rFonts w:hint="eastAsia" w:ascii="仿宋_GB2312" w:eastAsia="仿宋_GB2312"/>
          <w:sz w:val="28"/>
        </w:rPr>
        <w:t>绩效评价范围为</w:t>
      </w:r>
      <w:r>
        <w:rPr>
          <w:rFonts w:hint="eastAsia" w:ascii="仿宋_GB2312" w:eastAsia="仿宋_GB2312"/>
          <w:sz w:val="28"/>
          <w:lang w:eastAsia="zh-CN"/>
        </w:rPr>
        <w:t>宁武县</w:t>
      </w:r>
      <w:r>
        <w:rPr>
          <w:rFonts w:hint="eastAsia" w:ascii="仿宋_GB2312" w:eastAsia="仿宋_GB2312"/>
          <w:sz w:val="28"/>
          <w:lang w:val="en-US" w:eastAsia="zh-CN"/>
        </w:rPr>
        <w:t>交通运输局</w:t>
      </w:r>
      <w:r>
        <w:rPr>
          <w:rFonts w:hint="eastAsia" w:ascii="仿宋_GB2312" w:eastAsia="仿宋_GB2312"/>
          <w:sz w:val="28"/>
          <w:lang w:eastAsia="zh-CN"/>
        </w:rPr>
        <w:t>2020年统筹</w:t>
      </w:r>
      <w:r>
        <w:rPr>
          <w:rFonts w:hint="eastAsia" w:ascii="仿宋_GB2312" w:eastAsia="仿宋_GB2312"/>
          <w:sz w:val="28"/>
        </w:rPr>
        <w:t>整合财政资金产生的绩效以及为产生绩效所经历的各环节过程，具体绩效评价范围包括项目决策、过程、产出、效益。</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8"/>
          <w:highlight w:val="none"/>
          <w:lang w:val="en-US" w:eastAsia="zh-CN"/>
        </w:rPr>
      </w:pPr>
      <w:r>
        <w:rPr>
          <w:rFonts w:hint="eastAsia" w:ascii="楷体_GB2312" w:hAnsi="楷体_GB2312" w:eastAsia="楷体_GB2312" w:cs="楷体_GB2312"/>
          <w:i w:val="0"/>
          <w:iCs w:val="0"/>
          <w:caps w:val="0"/>
          <w:color w:val="000000"/>
          <w:spacing w:val="0"/>
          <w:sz w:val="28"/>
          <w:szCs w:val="28"/>
          <w:highlight w:val="none"/>
          <w:lang w:val="en-US" w:eastAsia="zh-CN"/>
        </w:rPr>
        <w:t>（三）评价基准日</w:t>
      </w:r>
      <w:bookmarkEnd w:id="34"/>
      <w:bookmarkEnd w:id="3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根据统筹整合财政资金计划下达时间、项目实施期限、项目绩效显现等因素，综合确定本次绩效评价基准日为2020年12月31日。</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8"/>
          <w:highlight w:val="none"/>
          <w:lang w:val="en-US" w:eastAsia="zh-CN"/>
        </w:rPr>
      </w:pPr>
      <w:bookmarkStart w:id="36" w:name="_Toc18726"/>
      <w:bookmarkStart w:id="37" w:name="_Toc12233"/>
      <w:r>
        <w:rPr>
          <w:rFonts w:hint="eastAsia" w:ascii="楷体_GB2312" w:hAnsi="楷体_GB2312" w:eastAsia="楷体_GB2312" w:cs="楷体_GB2312"/>
          <w:i w:val="0"/>
          <w:iCs w:val="0"/>
          <w:caps w:val="0"/>
          <w:color w:val="000000"/>
          <w:spacing w:val="0"/>
          <w:sz w:val="28"/>
          <w:szCs w:val="28"/>
          <w:highlight w:val="none"/>
          <w:lang w:val="en-US" w:eastAsia="zh-CN"/>
        </w:rPr>
        <w:t>（四）绩效评价指标体系</w:t>
      </w:r>
      <w:bookmarkEnd w:id="36"/>
      <w:bookmarkEnd w:id="37"/>
    </w:p>
    <w:p>
      <w:pPr>
        <w:pStyle w:val="6"/>
        <w:pageBreakBefore w:val="0"/>
        <w:kinsoku/>
        <w:wordWrap/>
        <w:overflowPunct/>
        <w:topLinePunct w:val="0"/>
        <w:autoSpaceDE/>
        <w:autoSpaceDN/>
        <w:bidi w:val="0"/>
        <w:adjustRightInd/>
        <w:snapToGrid/>
        <w:spacing w:beforeLines="0" w:afterLines="0"/>
        <w:textAlignment w:val="auto"/>
        <w:rPr>
          <w:rFonts w:hint="eastAsia" w:ascii="仿宋_GB2312" w:hAnsi="仿宋_GB2312" w:eastAsia="仿宋_GB2312" w:cs="仿宋_GB2312"/>
          <w:sz w:val="28"/>
          <w:szCs w:val="28"/>
          <w:lang w:val="en-US" w:eastAsia="zh-CN"/>
        </w:rPr>
      </w:pPr>
      <w:bookmarkStart w:id="38" w:name="_Toc31782"/>
      <w:bookmarkStart w:id="39" w:name="_Toc8685"/>
      <w:r>
        <w:rPr>
          <w:rFonts w:hint="eastAsia" w:ascii="仿宋_GB2312" w:hAnsi="仿宋_GB2312" w:eastAsia="仿宋_GB2312" w:cs="仿宋_GB2312"/>
          <w:sz w:val="28"/>
          <w:szCs w:val="28"/>
          <w:lang w:val="en-US" w:eastAsia="zh-CN"/>
        </w:rPr>
        <w:t>1.指标体系设计思路</w:t>
      </w:r>
      <w:bookmarkEnd w:id="38"/>
      <w:bookmarkEnd w:id="39"/>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000000"/>
          <w:spacing w:val="0"/>
          <w:sz w:val="28"/>
          <w:szCs w:val="28"/>
          <w:highlight w:val="none"/>
          <w:lang w:val="en-US" w:eastAsia="zh-CN"/>
        </w:rPr>
        <w:t>按照财政部《项目支出绩效评价管理办法》（财预〔2020〕10号）和山西省财政厅《省级项目支出绩效评价管理办法》（晋财绩〔2020〕17号）中的项目支出绩效评价指标体系框架（参考），遵循“突出项目资金、兼顾政策内容”的评价思路，结合</w:t>
      </w:r>
      <w:r>
        <w:rPr>
          <w:rFonts w:hint="eastAsia" w:ascii="仿宋_GB2312" w:hAnsi="仿宋_GB2312" w:eastAsia="仿宋_GB2312" w:cs="仿宋_GB2312"/>
          <w:color w:val="auto"/>
          <w:kern w:val="2"/>
          <w:sz w:val="28"/>
          <w:szCs w:val="28"/>
          <w:lang w:val="en-US" w:eastAsia="zh-CN" w:bidi="ar-SA"/>
        </w:rPr>
        <w:t>交通局2020年统筹整合财政资金</w:t>
      </w:r>
      <w:r>
        <w:rPr>
          <w:rFonts w:hint="eastAsia" w:ascii="仿宋_GB2312" w:hAnsi="仿宋_GB2312" w:eastAsia="仿宋_GB2312" w:cs="仿宋_GB2312"/>
          <w:i w:val="0"/>
          <w:iCs w:val="0"/>
          <w:caps w:val="0"/>
          <w:color w:val="000000"/>
          <w:spacing w:val="0"/>
          <w:sz w:val="28"/>
          <w:szCs w:val="28"/>
          <w:highlight w:val="none"/>
          <w:lang w:val="en-US" w:eastAsia="zh-CN"/>
        </w:rPr>
        <w:t>的实际情况，本着全面反映</w:t>
      </w:r>
      <w:r>
        <w:rPr>
          <w:rFonts w:hint="eastAsia" w:ascii="仿宋_GB2312" w:hAnsi="仿宋_GB2312" w:eastAsia="仿宋_GB2312" w:cs="仿宋_GB2312"/>
          <w:color w:val="auto"/>
          <w:kern w:val="2"/>
          <w:sz w:val="28"/>
          <w:szCs w:val="28"/>
          <w:lang w:val="en-US" w:eastAsia="zh-CN" w:bidi="ar-SA"/>
        </w:rPr>
        <w:t>交通局2020年统筹整合财政资金</w:t>
      </w:r>
      <w:r>
        <w:rPr>
          <w:rFonts w:hint="eastAsia" w:ascii="仿宋_GB2312" w:hAnsi="仿宋_GB2312" w:eastAsia="仿宋_GB2312" w:cs="仿宋_GB2312"/>
          <w:i w:val="0"/>
          <w:iCs w:val="0"/>
          <w:caps w:val="0"/>
          <w:color w:val="000000"/>
          <w:spacing w:val="0"/>
          <w:sz w:val="28"/>
          <w:szCs w:val="28"/>
          <w:highlight w:val="none"/>
          <w:lang w:val="en-US" w:eastAsia="zh-CN"/>
        </w:rPr>
        <w:t>的预算绩效管理情况，本着尽可能细化、量化、可操作的原则，结合计划标准、历史标准等制定指标的目标值，兼顾相关政策内容，设计形成了</w:t>
      </w:r>
      <w:r>
        <w:rPr>
          <w:rFonts w:hint="eastAsia" w:ascii="仿宋_GB2312" w:hAnsi="仿宋_GB2312" w:eastAsia="仿宋_GB2312" w:cs="仿宋_GB2312"/>
          <w:color w:val="auto"/>
          <w:kern w:val="2"/>
          <w:sz w:val="28"/>
          <w:szCs w:val="28"/>
          <w:lang w:val="en-US" w:eastAsia="zh-CN" w:bidi="ar-SA"/>
        </w:rPr>
        <w:t>交通局2020年统筹整合财政资金</w:t>
      </w:r>
      <w:r>
        <w:rPr>
          <w:rFonts w:hint="eastAsia" w:ascii="仿宋_GB2312" w:hAnsi="仿宋_GB2312" w:eastAsia="仿宋_GB2312" w:cs="仿宋_GB2312"/>
          <w:i w:val="0"/>
          <w:iCs w:val="0"/>
          <w:caps w:val="0"/>
          <w:color w:val="000000"/>
          <w:spacing w:val="0"/>
          <w:sz w:val="28"/>
          <w:szCs w:val="28"/>
          <w:highlight w:val="none"/>
          <w:lang w:val="en-US" w:eastAsia="zh-CN"/>
        </w:rPr>
        <w:t>支出绩效评价指标体系，</w:t>
      </w:r>
      <w:r>
        <w:rPr>
          <w:rFonts w:hint="eastAsia" w:ascii="仿宋_GB2312" w:hAnsi="仿宋_GB2312" w:eastAsia="仿宋_GB2312" w:cs="仿宋_GB2312"/>
          <w:i w:val="0"/>
          <w:iCs w:val="0"/>
          <w:caps w:val="0"/>
          <w:color w:val="auto"/>
          <w:spacing w:val="0"/>
          <w:sz w:val="28"/>
          <w:szCs w:val="28"/>
          <w:highlight w:val="none"/>
          <w:lang w:val="en-US" w:eastAsia="zh-CN"/>
        </w:rPr>
        <w:t>从决策、过程、产出和效益四个维度进行评价。</w:t>
      </w:r>
    </w:p>
    <w:p>
      <w:pPr>
        <w:pStyle w:val="6"/>
        <w:pageBreakBefore w:val="0"/>
        <w:kinsoku/>
        <w:wordWrap/>
        <w:overflowPunct/>
        <w:topLinePunct w:val="0"/>
        <w:autoSpaceDE/>
        <w:autoSpaceDN/>
        <w:bidi w:val="0"/>
        <w:adjustRightInd/>
        <w:snapToGrid/>
        <w:spacing w:beforeLines="0" w:afterLines="0"/>
        <w:textAlignment w:val="auto"/>
        <w:rPr>
          <w:rFonts w:hint="eastAsia" w:ascii="仿宋_GB2312" w:hAnsi="仿宋_GB2312" w:eastAsia="仿宋_GB2312" w:cs="仿宋_GB2312"/>
          <w:b/>
          <w:bCs/>
          <w:color w:val="auto"/>
          <w:kern w:val="0"/>
          <w:sz w:val="28"/>
          <w:szCs w:val="28"/>
          <w:lang w:val="zh-CN" w:eastAsia="zh-CN" w:bidi="zh-CN"/>
        </w:rPr>
      </w:pPr>
      <w:bookmarkStart w:id="40" w:name="_Toc13"/>
      <w:bookmarkStart w:id="41" w:name="_Toc11582"/>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.权重设计思路</w:t>
      </w:r>
      <w:bookmarkEnd w:id="40"/>
      <w:bookmarkEnd w:id="41"/>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color w:val="auto"/>
          <w:kern w:val="0"/>
          <w:sz w:val="28"/>
          <w:szCs w:val="28"/>
          <w:lang w:val="zh-CN" w:eastAsia="zh-CN" w:bidi="zh-CN"/>
        </w:rPr>
        <w:t>本次</w:t>
      </w:r>
      <w:r>
        <w:rPr>
          <w:rFonts w:hint="eastAsia" w:ascii="仿宋_GB2312" w:hAnsi="仿宋_GB2312" w:eastAsia="仿宋_GB2312" w:cs="仿宋_GB2312"/>
          <w:color w:val="auto"/>
          <w:kern w:val="0"/>
          <w:sz w:val="28"/>
          <w:szCs w:val="28"/>
          <w:lang w:val="en-US" w:eastAsia="zh-CN" w:bidi="zh-CN"/>
        </w:rPr>
        <w:t>绩效评价一级指标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按照财政部</w:t>
      </w:r>
      <w:r>
        <w:rPr>
          <w:rFonts w:hint="eastAsia" w:ascii="仿宋_GB2312" w:hAnsi="仿宋_GB2312" w:eastAsia="仿宋_GB2312" w:cs="仿宋_GB2312"/>
          <w:i w:val="0"/>
          <w:iCs w:val="0"/>
          <w:caps w:val="0"/>
          <w:color w:val="000000"/>
          <w:spacing w:val="0"/>
          <w:sz w:val="28"/>
          <w:szCs w:val="28"/>
          <w:highlight w:val="none"/>
          <w:lang w:val="en-US" w:eastAsia="zh-CN"/>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lang w:val="en-US" w:eastAsia="zh-CN" w:bidi="zh-CN"/>
        </w:rPr>
        <w:t>文件要求执行</w:t>
      </w:r>
      <w:r>
        <w:rPr>
          <w:rFonts w:hint="eastAsia" w:ascii="仿宋_GB2312" w:hAnsi="仿宋_GB2312" w:eastAsia="仿宋_GB2312" w:cs="仿宋_GB2312"/>
          <w:color w:val="auto"/>
          <w:kern w:val="0"/>
          <w:sz w:val="28"/>
          <w:szCs w:val="28"/>
          <w:lang w:val="zh-CN" w:eastAsia="zh-CN" w:bidi="zh-CN"/>
        </w:rPr>
        <w:t>，最终确定</w:t>
      </w:r>
      <w:r>
        <w:rPr>
          <w:rFonts w:hint="eastAsia" w:ascii="仿宋_GB2312" w:hAnsi="仿宋_GB2312" w:eastAsia="仿宋_GB2312" w:cs="仿宋_GB2312"/>
          <w:color w:val="auto"/>
          <w:kern w:val="0"/>
          <w:sz w:val="28"/>
          <w:szCs w:val="28"/>
          <w:lang w:val="en-US" w:eastAsia="zh-CN" w:bidi="zh-CN"/>
        </w:rPr>
        <w:t>决策</w:t>
      </w:r>
      <w:r>
        <w:rPr>
          <w:rFonts w:hint="eastAsia" w:ascii="仿宋_GB2312" w:hAnsi="仿宋_GB2312" w:eastAsia="仿宋_GB2312" w:cs="仿宋_GB2312"/>
          <w:color w:val="auto"/>
          <w:kern w:val="0"/>
          <w:sz w:val="28"/>
          <w:szCs w:val="28"/>
          <w:lang w:val="zh-CN" w:eastAsia="zh-CN" w:bidi="zh-CN"/>
        </w:rPr>
        <w:t>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0%，过程类指标权重占比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0%，产出类指标权重占比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0%，效益类指标权重占比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0%。二、三级指标</w:t>
      </w:r>
      <w:r>
        <w:rPr>
          <w:rFonts w:hint="eastAsia" w:ascii="仿宋_GB2312" w:hAnsi="仿宋_GB2312" w:eastAsia="仿宋_GB2312" w:cs="仿宋_GB2312"/>
          <w:color w:val="auto"/>
          <w:kern w:val="0"/>
          <w:sz w:val="28"/>
          <w:szCs w:val="28"/>
          <w:lang w:val="en-US" w:eastAsia="zh-CN" w:bidi="zh-CN"/>
        </w:rPr>
        <w:t>权重分值</w:t>
      </w:r>
      <w:r>
        <w:rPr>
          <w:rFonts w:hint="eastAsia" w:ascii="仿宋_GB2312" w:hAnsi="仿宋_GB2312" w:eastAsia="仿宋_GB2312" w:cs="仿宋_GB2312"/>
          <w:color w:val="auto"/>
          <w:kern w:val="0"/>
          <w:sz w:val="28"/>
          <w:szCs w:val="28"/>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pageBreakBefore w:val="0"/>
        <w:kinsoku/>
        <w:wordWrap/>
        <w:overflowPunct/>
        <w:topLinePunct w:val="0"/>
        <w:autoSpaceDE/>
        <w:autoSpaceDN/>
        <w:bidi w:val="0"/>
        <w:adjustRightInd/>
        <w:snapToGrid/>
        <w:spacing w:beforeLines="0" w:afterLines="0"/>
        <w:textAlignment w:val="auto"/>
        <w:rPr>
          <w:rFonts w:hint="eastAsia"/>
          <w:sz w:val="28"/>
          <w:szCs w:val="28"/>
          <w:lang w:val="en-US" w:eastAsia="zh-CN"/>
        </w:rPr>
      </w:pPr>
      <w:bookmarkStart w:id="42" w:name="_Toc16419"/>
      <w:bookmarkStart w:id="43" w:name="_Toc245"/>
      <w:r>
        <w:rPr>
          <w:rFonts w:hint="eastAsia" w:ascii="仿宋_GB2312" w:hAnsi="仿宋_GB2312" w:eastAsia="仿宋_GB2312" w:cs="仿宋_GB2312"/>
          <w:sz w:val="28"/>
          <w:szCs w:val="28"/>
          <w:lang w:val="en-US" w:eastAsia="zh-CN"/>
        </w:rPr>
        <w:t>3.指标体系具体内容</w:t>
      </w:r>
      <w:bookmarkEnd w:id="42"/>
      <w:bookmarkEnd w:id="43"/>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指标体系由</w:t>
      </w:r>
      <w:r>
        <w:rPr>
          <w:rFonts w:hint="eastAsia" w:ascii="仿宋_GB2312" w:hAnsi="仿宋_GB2312" w:eastAsia="仿宋_GB2312" w:cs="仿宋_GB2312"/>
          <w:i w:val="0"/>
          <w:iCs w:val="0"/>
          <w:caps w:val="0"/>
          <w:color w:val="auto"/>
          <w:spacing w:val="0"/>
          <w:sz w:val="28"/>
          <w:szCs w:val="28"/>
          <w:highlight w:val="none"/>
          <w:u w:val="none"/>
          <w:lang w:val="en-US" w:eastAsia="zh-CN"/>
        </w:rPr>
        <w:t>4项一级指标、14项二级指标、19项三级指标构成。数据主要来源于政策文件、制度文件、档案资料、基础表、满意度问卷、访谈等。决策类指标占权重分20分，从项目立项、绩效目</w:t>
      </w:r>
      <w:r>
        <w:rPr>
          <w:rFonts w:hint="eastAsia" w:ascii="仿宋_GB2312" w:hAnsi="仿宋_GB2312" w:eastAsia="仿宋_GB2312" w:cs="仿宋_GB2312"/>
          <w:i w:val="0"/>
          <w:iCs w:val="0"/>
          <w:caps w:val="0"/>
          <w:color w:val="auto"/>
          <w:spacing w:val="0"/>
          <w:sz w:val="28"/>
          <w:szCs w:val="28"/>
          <w:highlight w:val="none"/>
          <w:lang w:val="en-US" w:eastAsia="zh-CN"/>
        </w:rPr>
        <w:t>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公示公告规范性、招投标执行有效性、合同执行有效性。产出类指标占权重分30分，从产出数量、产出质量、产出时效和产出成本四个角度考核项目实际完成率、质量达标率、完成及时率、成本节约率的情况。效益类指标占权重分30分，从项目的社会效益、可持续影响、满意度进行考核</w:t>
      </w:r>
      <w:r>
        <w:rPr>
          <w:rFonts w:hint="eastAsia" w:ascii="仿宋_GB2312" w:hAnsi="仿宋_GB2312" w:eastAsia="仿宋_GB2312" w:cs="仿宋_GB2312"/>
          <w:i w:val="0"/>
          <w:iCs w:val="0"/>
          <w:caps w:val="0"/>
          <w:color w:val="000000"/>
          <w:spacing w:val="0"/>
          <w:sz w:val="28"/>
          <w:szCs w:val="28"/>
          <w:highlight w:val="none"/>
          <w:lang w:val="en-US"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44" w:name="_Toc21613"/>
      <w:bookmarkStart w:id="45" w:name="_Toc6307"/>
      <w:r>
        <w:rPr>
          <w:rFonts w:hint="eastAsia" w:ascii="楷体_GB2312" w:hAnsi="楷体_GB2312" w:eastAsia="楷体_GB2312" w:cs="楷体_GB2312"/>
          <w:i w:val="0"/>
          <w:iCs w:val="0"/>
          <w:caps w:val="0"/>
          <w:color w:val="000000"/>
          <w:spacing w:val="0"/>
          <w:sz w:val="28"/>
          <w:szCs w:val="27"/>
          <w:highlight w:val="none"/>
          <w:lang w:val="en-US" w:eastAsia="zh-CN"/>
        </w:rPr>
        <w:t>（五）绩效评价工作过程</w:t>
      </w:r>
      <w:bookmarkEnd w:id="44"/>
      <w:bookmarkEnd w:id="45"/>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接受</w:t>
      </w:r>
      <w:r>
        <w:rPr>
          <w:rFonts w:hint="eastAsia" w:ascii="仿宋_GB2312" w:hAnsi="仿宋_GB2312" w:eastAsia="仿宋_GB2312" w:cs="仿宋_GB2312"/>
          <w:i w:val="0"/>
          <w:iCs w:val="0"/>
          <w:caps w:val="0"/>
          <w:color w:val="auto"/>
          <w:spacing w:val="0"/>
          <w:sz w:val="28"/>
          <w:szCs w:val="27"/>
          <w:highlight w:val="none"/>
          <w:u w:val="none"/>
          <w:lang w:val="en-US" w:eastAsia="zh-CN"/>
        </w:rPr>
        <w:t>宁武县财政局</w:t>
      </w:r>
      <w:r>
        <w:rPr>
          <w:rFonts w:hint="default" w:ascii="仿宋_GB2312" w:hAnsi="仿宋_GB2312" w:eastAsia="仿宋_GB2312" w:cs="仿宋_GB2312"/>
          <w:i w:val="0"/>
          <w:iCs w:val="0"/>
          <w:caps w:val="0"/>
          <w:color w:val="000000"/>
          <w:spacing w:val="0"/>
          <w:sz w:val="28"/>
          <w:szCs w:val="27"/>
          <w:highlight w:val="none"/>
          <w:u w:val="none"/>
          <w:lang w:val="en-US" w:eastAsia="zh-CN"/>
        </w:rPr>
        <w:t>的</w:t>
      </w:r>
      <w:r>
        <w:rPr>
          <w:rFonts w:hint="default" w:ascii="仿宋_GB2312" w:hAnsi="仿宋_GB2312" w:eastAsia="仿宋_GB2312" w:cs="仿宋_GB2312"/>
          <w:i w:val="0"/>
          <w:iCs w:val="0"/>
          <w:caps w:val="0"/>
          <w:color w:val="000000"/>
          <w:spacing w:val="0"/>
          <w:sz w:val="28"/>
          <w:szCs w:val="27"/>
          <w:highlight w:val="none"/>
          <w:lang w:val="en-US" w:eastAsia="zh-CN"/>
        </w:rPr>
        <w:t>委托</w:t>
      </w:r>
      <w:r>
        <w:rPr>
          <w:rFonts w:hint="eastAsia" w:ascii="仿宋_GB2312" w:hAnsi="仿宋_GB2312" w:eastAsia="仿宋_GB2312" w:cs="仿宋_GB2312"/>
          <w:i w:val="0"/>
          <w:iCs w:val="0"/>
          <w:caps w:val="0"/>
          <w:color w:val="000000"/>
          <w:spacing w:val="0"/>
          <w:sz w:val="28"/>
          <w:szCs w:val="27"/>
          <w:highlight w:val="none"/>
          <w:lang w:val="en-US" w:eastAsia="zh-CN"/>
        </w:rPr>
        <w:t>后</w:t>
      </w:r>
      <w:r>
        <w:rPr>
          <w:rFonts w:hint="default" w:ascii="仿宋_GB2312" w:hAnsi="仿宋_GB2312" w:eastAsia="仿宋_GB2312" w:cs="仿宋_GB2312"/>
          <w:i w:val="0"/>
          <w:iCs w:val="0"/>
          <w:caps w:val="0"/>
          <w:color w:val="000000"/>
          <w:spacing w:val="0"/>
          <w:sz w:val="28"/>
          <w:szCs w:val="27"/>
          <w:highlight w:val="none"/>
          <w:lang w:val="en-US" w:eastAsia="zh-CN"/>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sz w:val="28"/>
          <w:szCs w:val="27"/>
          <w:highlight w:val="none"/>
          <w:lang w:val="en-US" w:eastAsia="zh-CN"/>
        </w:rPr>
        <w:t>具体</w:t>
      </w:r>
      <w:r>
        <w:rPr>
          <w:rFonts w:hint="default" w:ascii="仿宋_GB2312" w:hAnsi="仿宋_GB2312" w:eastAsia="仿宋_GB2312" w:cs="仿宋_GB2312"/>
          <w:i w:val="0"/>
          <w:iCs w:val="0"/>
          <w:caps w:val="0"/>
          <w:color w:val="000000"/>
          <w:spacing w:val="0"/>
          <w:sz w:val="28"/>
          <w:szCs w:val="27"/>
          <w:highlight w:val="none"/>
          <w:lang w:val="en-US" w:eastAsia="zh-CN"/>
        </w:rPr>
        <w:t>工作分为</w:t>
      </w:r>
      <w:r>
        <w:rPr>
          <w:rFonts w:hint="eastAsia" w:ascii="仿宋_GB2312" w:hAnsi="仿宋_GB2312" w:eastAsia="仿宋_GB2312" w:cs="仿宋_GB2312"/>
          <w:i w:val="0"/>
          <w:iCs w:val="0"/>
          <w:caps w:val="0"/>
          <w:color w:val="000000"/>
          <w:spacing w:val="0"/>
          <w:sz w:val="28"/>
          <w:szCs w:val="27"/>
          <w:highlight w:val="none"/>
          <w:lang w:val="en-US" w:eastAsia="zh-CN"/>
        </w:rPr>
        <w:t>前期</w:t>
      </w:r>
      <w:r>
        <w:rPr>
          <w:rFonts w:hint="default" w:ascii="仿宋_GB2312" w:hAnsi="仿宋_GB2312" w:eastAsia="仿宋_GB2312" w:cs="仿宋_GB2312"/>
          <w:i w:val="0"/>
          <w:iCs w:val="0"/>
          <w:caps w:val="0"/>
          <w:color w:val="000000"/>
          <w:spacing w:val="0"/>
          <w:sz w:val="28"/>
          <w:szCs w:val="27"/>
          <w:highlight w:val="none"/>
          <w:lang w:val="en-US" w:eastAsia="zh-CN"/>
        </w:rPr>
        <w:t>准备、</w:t>
      </w:r>
      <w:r>
        <w:rPr>
          <w:rFonts w:hint="eastAsia" w:ascii="仿宋_GB2312" w:hAnsi="仿宋_GB2312" w:eastAsia="仿宋_GB2312" w:cs="仿宋_GB2312"/>
          <w:i w:val="0"/>
          <w:iCs w:val="0"/>
          <w:caps w:val="0"/>
          <w:color w:val="000000"/>
          <w:spacing w:val="0"/>
          <w:sz w:val="28"/>
          <w:szCs w:val="27"/>
          <w:highlight w:val="none"/>
          <w:lang w:val="en-US" w:eastAsia="zh-CN"/>
        </w:rPr>
        <w:t>现场</w:t>
      </w:r>
      <w:r>
        <w:rPr>
          <w:rFonts w:hint="default" w:ascii="仿宋_GB2312" w:hAnsi="仿宋_GB2312" w:eastAsia="仿宋_GB2312" w:cs="仿宋_GB2312"/>
          <w:i w:val="0"/>
          <w:iCs w:val="0"/>
          <w:caps w:val="0"/>
          <w:color w:val="000000"/>
          <w:spacing w:val="0"/>
          <w:sz w:val="28"/>
          <w:szCs w:val="27"/>
          <w:highlight w:val="none"/>
          <w:lang w:val="en-US" w:eastAsia="zh-CN"/>
        </w:rPr>
        <w:t>实施、报告撰写三个阶段。</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000000"/>
          <w:spacing w:val="0"/>
          <w:sz w:val="28"/>
          <w:szCs w:val="27"/>
          <w:highlight w:val="none"/>
          <w:lang w:val="en-US" w:eastAsia="zh-CN"/>
        </w:rPr>
      </w:pPr>
      <w:bookmarkStart w:id="46" w:name="_Toc567"/>
      <w:bookmarkStart w:id="47" w:name="_Toc14178"/>
      <w:r>
        <w:rPr>
          <w:rFonts w:hint="default" w:ascii="仿宋_GB2312" w:hAnsi="仿宋_GB2312" w:eastAsia="仿宋_GB2312" w:cs="仿宋_GB2312"/>
          <w:b/>
          <w:bCs/>
          <w:i w:val="0"/>
          <w:iCs w:val="0"/>
          <w:caps w:val="0"/>
          <w:color w:val="000000"/>
          <w:spacing w:val="0"/>
          <w:sz w:val="28"/>
          <w:szCs w:val="27"/>
          <w:highlight w:val="none"/>
          <w:lang w:val="en-US" w:eastAsia="zh-CN"/>
        </w:rPr>
        <w:t>1.评价准备阶段</w:t>
      </w:r>
      <w:bookmarkEnd w:id="46"/>
      <w:bookmarkEnd w:id="47"/>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根据山西省《省级项目支出绩效评价管理办法》（晋财绩〔2020〕17号）文件精神和</w:t>
      </w:r>
      <w:r>
        <w:rPr>
          <w:rFonts w:hint="eastAsia" w:ascii="仿宋_GB2312" w:hAnsi="仿宋_GB2312" w:eastAsia="仿宋_GB2312" w:cs="仿宋_GB2312"/>
          <w:i w:val="0"/>
          <w:iCs w:val="0"/>
          <w:caps w:val="0"/>
          <w:color w:val="000000"/>
          <w:spacing w:val="0"/>
          <w:sz w:val="28"/>
          <w:szCs w:val="27"/>
          <w:highlight w:val="none"/>
          <w:lang w:val="en-US" w:eastAsia="zh-CN"/>
        </w:rPr>
        <w:t>《宁武县财政局关于开展2020年度项目支出绩效评价工作的通知》（宁财字〔2020〕13号）</w:t>
      </w:r>
      <w:r>
        <w:rPr>
          <w:rFonts w:hint="default" w:ascii="仿宋_GB2312" w:hAnsi="仿宋_GB2312" w:eastAsia="仿宋_GB2312" w:cs="仿宋_GB2312"/>
          <w:i w:val="0"/>
          <w:iCs w:val="0"/>
          <w:caps w:val="0"/>
          <w:color w:val="000000"/>
          <w:spacing w:val="0"/>
          <w:sz w:val="28"/>
          <w:szCs w:val="27"/>
          <w:highlight w:val="none"/>
          <w:lang w:val="en-US" w:eastAsia="zh-CN"/>
        </w:rPr>
        <w:t>总体要求，明确评价目的和工作思路，联系</w:t>
      </w:r>
      <w:r>
        <w:rPr>
          <w:rFonts w:hint="eastAsia" w:ascii="仿宋_GB2312" w:hAnsi="仿宋_GB2312" w:eastAsia="仿宋_GB2312" w:cs="仿宋_GB2312"/>
          <w:i w:val="0"/>
          <w:iCs w:val="0"/>
          <w:caps w:val="0"/>
          <w:color w:val="000000"/>
          <w:spacing w:val="0"/>
          <w:sz w:val="28"/>
          <w:szCs w:val="27"/>
          <w:highlight w:val="none"/>
          <w:lang w:val="en-US" w:eastAsia="zh-CN"/>
        </w:rPr>
        <w:t>交通局</w:t>
      </w:r>
      <w:r>
        <w:rPr>
          <w:rFonts w:hint="eastAsia" w:ascii="仿宋_GB2312" w:hAnsi="仿宋_GB2312" w:eastAsia="仿宋_GB2312" w:cs="仿宋_GB2312"/>
          <w:i w:val="0"/>
          <w:iCs w:val="0"/>
          <w:caps w:val="0"/>
          <w:color w:val="auto"/>
          <w:spacing w:val="0"/>
          <w:sz w:val="28"/>
          <w:szCs w:val="27"/>
          <w:highlight w:val="none"/>
          <w:u w:val="none"/>
          <w:lang w:val="en-US" w:eastAsia="zh-CN"/>
        </w:rPr>
        <w:t>、养殖企业</w:t>
      </w:r>
      <w:r>
        <w:rPr>
          <w:rFonts w:hint="default" w:ascii="仿宋_GB2312" w:hAnsi="仿宋_GB2312" w:eastAsia="仿宋_GB2312" w:cs="仿宋_GB2312"/>
          <w:i w:val="0"/>
          <w:iCs w:val="0"/>
          <w:caps w:val="0"/>
          <w:color w:val="000000"/>
          <w:spacing w:val="0"/>
          <w:sz w:val="28"/>
          <w:szCs w:val="27"/>
          <w:highlight w:val="none"/>
          <w:lang w:val="en-US" w:eastAsia="zh-CN"/>
        </w:rPr>
        <w:t>开展调研，收集相关政策文件和信息资料，编制绩效评价指标体系、评分标准和评价等级。</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000000"/>
          <w:spacing w:val="0"/>
          <w:sz w:val="28"/>
          <w:szCs w:val="27"/>
          <w:highlight w:val="none"/>
          <w:lang w:val="en-US" w:eastAsia="zh-CN"/>
        </w:rPr>
      </w:pPr>
      <w:bookmarkStart w:id="48" w:name="_Toc2895"/>
      <w:bookmarkStart w:id="49" w:name="_Toc3356"/>
      <w:r>
        <w:rPr>
          <w:rFonts w:hint="default" w:ascii="仿宋_GB2312" w:hAnsi="仿宋_GB2312" w:eastAsia="仿宋_GB2312" w:cs="仿宋_GB2312"/>
          <w:b/>
          <w:bCs/>
          <w:i w:val="0"/>
          <w:iCs w:val="0"/>
          <w:caps w:val="0"/>
          <w:color w:val="000000"/>
          <w:spacing w:val="0"/>
          <w:sz w:val="28"/>
          <w:szCs w:val="27"/>
          <w:highlight w:val="none"/>
          <w:lang w:val="en-US" w:eastAsia="zh-CN"/>
        </w:rPr>
        <w:t>2.组织实施阶段</w:t>
      </w:r>
      <w:bookmarkEnd w:id="48"/>
      <w:bookmarkEnd w:id="4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50" w:name="_Toc32670"/>
      <w:r>
        <w:rPr>
          <w:rFonts w:hint="eastAsia" w:ascii="仿宋_GB2312" w:hAnsi="仿宋_GB2312" w:eastAsia="仿宋_GB2312" w:cs="仿宋_GB2312"/>
          <w:sz w:val="28"/>
          <w:szCs w:val="36"/>
          <w:lang w:val="en-US" w:eastAsia="zh-CN"/>
        </w:rPr>
        <w:t>（1）围绕评价指标补充收集相关资料；</w:t>
      </w:r>
      <w:bookmarkEnd w:id="5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51" w:name="_Toc2125"/>
      <w:r>
        <w:rPr>
          <w:rFonts w:hint="eastAsia" w:ascii="仿宋_GB2312" w:hAnsi="仿宋_GB2312" w:eastAsia="仿宋_GB2312" w:cs="仿宋_GB2312"/>
          <w:sz w:val="28"/>
          <w:szCs w:val="36"/>
          <w:lang w:val="en-US" w:eastAsia="zh-CN"/>
        </w:rPr>
        <w:t>（2）现场勘查。根据评价对象的特点和项目单位提供的数据资料，现场勘查项目建设情况及运营情况。</w:t>
      </w:r>
      <w:bookmarkEnd w:id="5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52" w:name="_Toc8827"/>
      <w:r>
        <w:rPr>
          <w:rFonts w:hint="eastAsia" w:ascii="仿宋_GB2312" w:hAnsi="仿宋_GB2312" w:eastAsia="仿宋_GB2312" w:cs="仿宋_GB2312"/>
          <w:sz w:val="28"/>
          <w:szCs w:val="36"/>
          <w:lang w:val="en-US" w:eastAsia="zh-CN"/>
        </w:rPr>
        <w:t>（3）满意度调查。向项目受益群体发放一定数量的满意度调查问卷，汇总受益群体对项目的意见及建议，形成满意度调查问卷分析。</w:t>
      </w:r>
      <w:bookmarkEnd w:id="5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53" w:name="_Toc6703"/>
      <w:r>
        <w:rPr>
          <w:rFonts w:hint="eastAsia" w:ascii="仿宋_GB2312" w:hAnsi="仿宋_GB2312" w:eastAsia="仿宋_GB2312" w:cs="仿宋_GB2312"/>
          <w:sz w:val="28"/>
          <w:szCs w:val="28"/>
          <w:lang w:val="en-US" w:eastAsia="zh-CN"/>
        </w:rPr>
        <w:t>（4）综合评价。根据评价工作方案确定的评价指标、评价权重、评价标准和评价方法，对评价对象的情况进行全面的定量定性分析和综合评价。</w:t>
      </w:r>
      <w:bookmarkEnd w:id="53"/>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2"/>
        <w:rPr>
          <w:rFonts w:hint="default" w:ascii="仿宋_GB2312" w:hAnsi="仿宋_GB2312" w:eastAsia="仿宋_GB2312" w:cs="仿宋_GB2312"/>
          <w:b/>
          <w:bCs/>
          <w:i w:val="0"/>
          <w:iCs w:val="0"/>
          <w:caps w:val="0"/>
          <w:color w:val="000000"/>
          <w:spacing w:val="0"/>
          <w:sz w:val="28"/>
          <w:szCs w:val="28"/>
          <w:highlight w:val="none"/>
          <w:lang w:val="en-US" w:eastAsia="zh-CN"/>
        </w:rPr>
      </w:pPr>
      <w:bookmarkStart w:id="54" w:name="_Toc30607"/>
      <w:bookmarkStart w:id="55" w:name="_Toc15912"/>
      <w:bookmarkStart w:id="56" w:name="_Toc32698"/>
      <w:r>
        <w:rPr>
          <w:rFonts w:hint="default" w:ascii="仿宋_GB2312" w:hAnsi="仿宋_GB2312" w:eastAsia="仿宋_GB2312" w:cs="仿宋_GB2312"/>
          <w:b/>
          <w:bCs/>
          <w:i w:val="0"/>
          <w:iCs w:val="0"/>
          <w:caps w:val="0"/>
          <w:color w:val="000000"/>
          <w:spacing w:val="0"/>
          <w:sz w:val="28"/>
          <w:szCs w:val="28"/>
          <w:highlight w:val="none"/>
          <w:lang w:val="en-US" w:eastAsia="zh-CN"/>
        </w:rPr>
        <w:t>3.报告撰写阶段</w:t>
      </w:r>
      <w:bookmarkEnd w:id="54"/>
      <w:bookmarkEnd w:id="55"/>
      <w:bookmarkEnd w:id="56"/>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8"/>
          <w:highlight w:val="none"/>
          <w:lang w:val="en-US" w:eastAsia="zh-CN"/>
        </w:rPr>
      </w:pPr>
      <w:bookmarkStart w:id="57" w:name="_Toc3178"/>
      <w:r>
        <w:rPr>
          <w:rFonts w:hint="default" w:ascii="仿宋_GB2312" w:hAnsi="仿宋_GB2312" w:eastAsia="仿宋_GB2312" w:cs="仿宋_GB2312"/>
          <w:i w:val="0"/>
          <w:iCs w:val="0"/>
          <w:caps w:val="0"/>
          <w:color w:val="000000"/>
          <w:spacing w:val="0"/>
          <w:sz w:val="28"/>
          <w:szCs w:val="28"/>
          <w:highlight w:val="none"/>
          <w:lang w:val="en-US" w:eastAsia="zh-CN"/>
        </w:rPr>
        <w:t>绩效评价组根据被评价单位的绩效情况，按要求撰写评价报告，并根据专家意见进一步完善、修改绩效</w:t>
      </w:r>
      <w:bookmarkStart w:id="65" w:name="_GoBack"/>
      <w:bookmarkEnd w:id="65"/>
      <w:r>
        <w:rPr>
          <w:rFonts w:hint="default" w:ascii="仿宋_GB2312" w:hAnsi="仿宋_GB2312" w:eastAsia="仿宋_GB2312" w:cs="仿宋_GB2312"/>
          <w:i w:val="0"/>
          <w:iCs w:val="0"/>
          <w:caps w:val="0"/>
          <w:color w:val="000000"/>
          <w:spacing w:val="0"/>
          <w:sz w:val="28"/>
          <w:szCs w:val="28"/>
          <w:highlight w:val="none"/>
          <w:lang w:val="en-US" w:eastAsia="zh-CN"/>
        </w:rPr>
        <w:t>评价报告，形成</w:t>
      </w:r>
      <w:r>
        <w:rPr>
          <w:rFonts w:hint="eastAsia" w:ascii="仿宋_GB2312" w:hAnsi="仿宋_GB2312" w:eastAsia="仿宋_GB2312" w:cs="仿宋_GB2312"/>
          <w:i w:val="0"/>
          <w:iCs w:val="0"/>
          <w:caps w:val="0"/>
          <w:color w:val="000000"/>
          <w:spacing w:val="0"/>
          <w:sz w:val="28"/>
          <w:szCs w:val="28"/>
          <w:highlight w:val="none"/>
          <w:lang w:val="en-US" w:eastAsia="zh-CN"/>
        </w:rPr>
        <w:t>报告提交报送委托评价单位。</w:t>
      </w:r>
      <w:bookmarkEnd w:id="57"/>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0"/>
        <w:rPr>
          <w:rFonts w:hint="eastAsia" w:ascii="黑体" w:hAnsi="黑体" w:eastAsia="黑体" w:cs="黑体"/>
          <w:i w:val="0"/>
          <w:iCs w:val="0"/>
          <w:caps w:val="0"/>
          <w:color w:val="000000"/>
          <w:spacing w:val="0"/>
          <w:sz w:val="28"/>
          <w:szCs w:val="28"/>
          <w:highlight w:val="none"/>
        </w:rPr>
      </w:pPr>
      <w:bookmarkStart w:id="58" w:name="_Toc19030"/>
      <w:bookmarkStart w:id="59" w:name="_Toc28525"/>
      <w:r>
        <w:rPr>
          <w:rFonts w:hint="eastAsia" w:ascii="黑体" w:hAnsi="黑体" w:eastAsia="黑体" w:cs="黑体"/>
          <w:i w:val="0"/>
          <w:iCs w:val="0"/>
          <w:caps w:val="0"/>
          <w:color w:val="000000"/>
          <w:spacing w:val="0"/>
          <w:sz w:val="28"/>
          <w:szCs w:val="28"/>
          <w:highlight w:val="none"/>
        </w:rPr>
        <w:t>三、综合评价情况及评价结论</w:t>
      </w:r>
      <w:bookmarkEnd w:id="58"/>
      <w:bookmarkEnd w:id="59"/>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bookmarkStart w:id="60" w:name="_Toc8414"/>
      <w:r>
        <w:rPr>
          <w:rFonts w:hint="eastAsia"/>
          <w:sz w:val="28"/>
          <w:szCs w:val="28"/>
          <w:lang w:val="en-US" w:eastAsia="zh-CN"/>
        </w:rPr>
        <w:t>（一）综合评价情况</w:t>
      </w:r>
      <w:bookmarkEnd w:id="6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kern w:val="0"/>
          <w:sz w:val="28"/>
          <w:szCs w:val="27"/>
          <w:highlight w:val="none"/>
          <w:lang w:val="en-US" w:eastAsia="zh-CN" w:bidi="ar"/>
        </w:rPr>
        <w:t>交通局2020年统筹整合财政资金绩效评价综合得分</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fldChar w:fldCharType="begin"/>
      </w:r>
      <w:r>
        <w:rPr>
          <w:rFonts w:hint="eastAsia" w:ascii="仿宋_GB2312" w:hAnsi="仿宋_GB2312" w:eastAsia="仿宋_GB2312" w:cs="仿宋_GB2312"/>
          <w:i w:val="0"/>
          <w:iCs w:val="0"/>
          <w:caps w:val="0"/>
          <w:color w:val="000000"/>
          <w:spacing w:val="0"/>
          <w:kern w:val="0"/>
          <w:sz w:val="28"/>
          <w:szCs w:val="27"/>
          <w:highlight w:val="none"/>
          <w:lang w:val="en-US" w:eastAsia="zh-CN" w:bidi="ar"/>
        </w:rPr>
        <w:instrText xml:space="preserve"> =SUM(ABOVE) \* MERGEFORMAT </w:instrText>
      </w:r>
      <w:r>
        <w:rPr>
          <w:rFonts w:hint="eastAsia" w:ascii="仿宋_GB2312" w:hAnsi="仿宋_GB2312" w:eastAsia="仿宋_GB2312" w:cs="仿宋_GB2312"/>
          <w:i w:val="0"/>
          <w:iCs w:val="0"/>
          <w:caps w:val="0"/>
          <w:color w:val="000000"/>
          <w:spacing w:val="0"/>
          <w:kern w:val="0"/>
          <w:sz w:val="28"/>
          <w:szCs w:val="27"/>
          <w:highlight w:val="none"/>
          <w:lang w:val="en-US" w:eastAsia="zh-CN" w:bidi="ar"/>
        </w:rPr>
        <w:fldChar w:fldCharType="separate"/>
      </w:r>
      <w:r>
        <w:rPr>
          <w:rFonts w:hint="eastAsia" w:ascii="仿宋_GB2312" w:hAnsi="仿宋_GB2312" w:eastAsia="仿宋_GB2312" w:cs="仿宋_GB2312"/>
          <w:i w:val="0"/>
          <w:iCs w:val="0"/>
          <w:caps w:val="0"/>
          <w:color w:val="000000"/>
          <w:spacing w:val="0"/>
          <w:kern w:val="0"/>
          <w:sz w:val="28"/>
          <w:szCs w:val="27"/>
          <w:highlight w:val="none"/>
          <w:lang w:val="en-US" w:eastAsia="zh-CN" w:bidi="ar"/>
        </w:rPr>
        <w:t>90.8</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fldChar w:fldCharType="end"/>
      </w:r>
      <w:r>
        <w:rPr>
          <w:rFonts w:hint="eastAsia" w:ascii="仿宋_GB2312" w:hAnsi="仿宋_GB2312" w:eastAsia="仿宋_GB2312" w:cs="仿宋_GB2312"/>
          <w:i w:val="0"/>
          <w:iCs w:val="0"/>
          <w:caps w:val="0"/>
          <w:color w:val="000000"/>
          <w:spacing w:val="0"/>
          <w:kern w:val="0"/>
          <w:sz w:val="28"/>
          <w:szCs w:val="27"/>
          <w:highlight w:val="none"/>
          <w:lang w:val="en-US" w:eastAsia="zh-CN" w:bidi="ar"/>
        </w:rPr>
        <w:t>9分。评价等级为</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“优”</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其中决策类指标得19分，过程类指标得</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fldChar w:fldCharType="begin"/>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instrText xml:space="preserve"> =SUM(ABOVE) \* MERGEFORMAT </w:instrTex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fldChar w:fldCharType="separate"/>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14.9</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fldChar w:fldCharType="end"/>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8分，产出类指标得26.91分，效益类指标得30分。具体项目绩效得分见表3</w:t>
      </w:r>
      <w:r>
        <w:rPr>
          <w:rFonts w:hint="eastAsia" w:ascii="仿宋_GB2312" w:hAnsi="仿宋_GB2312" w:eastAsia="仿宋_GB2312" w:cs="仿宋_GB2312"/>
          <w:i w:val="0"/>
          <w:iCs w:val="0"/>
          <w:caps w:val="0"/>
          <w:color w:val="000000"/>
          <w:spacing w:val="0"/>
          <w:kern w:val="0"/>
          <w:sz w:val="28"/>
          <w:szCs w:val="27"/>
          <w:highlight w:val="none"/>
          <w:u w:val="none"/>
          <w:lang w:val="en-US" w:eastAsia="zh-CN" w:bidi="ar"/>
        </w:rPr>
        <w:t>-1。</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firstLine="0" w:firstLineChars="0"/>
        <w:jc w:val="center"/>
        <w:textAlignment w:val="auto"/>
        <w:outlineLvl w:val="9"/>
        <w:rPr>
          <w:rFonts w:hint="eastAsia" w:ascii="仿宋_GB2312" w:eastAsia="仿宋_GB2312"/>
          <w:sz w:val="28"/>
        </w:rPr>
      </w:pPr>
      <w:r>
        <w:rPr>
          <w:rFonts w:hint="eastAsia" w:ascii="宋体" w:hAnsi="宋体" w:eastAsia="宋体" w:cs="宋体"/>
          <w:sz w:val="28"/>
        </w:rPr>
        <w:t>表3-1 项目总体绩效评价评分表</w:t>
      </w:r>
    </w:p>
    <w:tbl>
      <w:tblPr>
        <w:tblStyle w:val="15"/>
        <w:tblW w:w="8616"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154"/>
        <w:gridCol w:w="2154"/>
        <w:gridCol w:w="2154"/>
        <w:gridCol w:w="2154"/>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154" w:type="dxa"/>
            <w:tcBorders>
              <w:top w:val="double" w:color="auto" w:sz="4" w:space="0"/>
              <w:lef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154" w:type="dxa"/>
            <w:tcBorders>
              <w:top w:val="double" w:color="auto" w:sz="4" w:space="0"/>
              <w:righ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154" w:type="dxa"/>
            <w:vAlign w:val="center"/>
          </w:tcPr>
          <w:p>
            <w:pPr>
              <w:widowControl/>
              <w:spacing w:after="0" w:line="240" w:lineRule="auto"/>
              <w:ind w:firstLine="0" w:firstLineChars="0"/>
              <w:jc w:val="center"/>
              <w:rPr>
                <w:rFonts w:ascii="宋体" w:hAnsi="宋体" w:eastAsia="宋体"/>
                <w:sz w:val="24"/>
              </w:rPr>
            </w:pPr>
            <w:r>
              <w:rPr>
                <w:rFonts w:hint="default" w:ascii="宋体" w:hAnsi="宋体" w:eastAsia="宋体" w:cs="宋体"/>
                <w:color w:val="auto"/>
                <w:kern w:val="0"/>
                <w:sz w:val="24"/>
                <w:szCs w:val="24"/>
              </w:rPr>
              <w:fldChar w:fldCharType="begin"/>
            </w:r>
            <w:r>
              <w:rPr>
                <w:rFonts w:hint="default" w:ascii="宋体" w:hAnsi="宋体" w:eastAsia="宋体" w:cs="宋体"/>
                <w:color w:val="auto"/>
                <w:kern w:val="0"/>
                <w:sz w:val="24"/>
                <w:szCs w:val="24"/>
              </w:rPr>
              <w:instrText xml:space="preserve"> =SUM(ABOVE) \* MERGEFORMAT </w:instrText>
            </w:r>
            <w:r>
              <w:rPr>
                <w:rFonts w:hint="default" w:ascii="宋体" w:hAnsi="宋体" w:eastAsia="宋体" w:cs="宋体"/>
                <w:color w:val="auto"/>
                <w:kern w:val="0"/>
                <w:sz w:val="24"/>
                <w:szCs w:val="24"/>
              </w:rPr>
              <w:fldChar w:fldCharType="separate"/>
            </w:r>
            <w:r>
              <w:rPr>
                <w:rFonts w:hint="default" w:ascii="宋体" w:hAnsi="宋体" w:eastAsia="宋体" w:cs="宋体"/>
                <w:color w:val="auto"/>
                <w:kern w:val="0"/>
                <w:sz w:val="24"/>
                <w:szCs w:val="24"/>
              </w:rPr>
              <w:t>20</w:t>
            </w:r>
            <w:r>
              <w:rPr>
                <w:rFonts w:hint="default" w:ascii="宋体" w:hAnsi="宋体" w:eastAsia="宋体" w:cs="宋体"/>
                <w:color w:val="auto"/>
                <w:kern w:val="0"/>
                <w:sz w:val="24"/>
                <w:szCs w:val="24"/>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lang w:val="en-US" w:eastAsia="zh-CN"/>
              </w:rPr>
            </w:pPr>
            <w:r>
              <w:rPr>
                <w:rFonts w:hint="default" w:ascii="宋体" w:hAnsi="宋体" w:eastAsia="宋体" w:cs="宋体"/>
                <w:color w:val="auto"/>
                <w:kern w:val="0"/>
                <w:sz w:val="24"/>
                <w:szCs w:val="24"/>
              </w:rPr>
              <w:fldChar w:fldCharType="begin"/>
            </w:r>
            <w:r>
              <w:rPr>
                <w:rFonts w:hint="default" w:ascii="宋体" w:hAnsi="宋体" w:eastAsia="宋体" w:cs="宋体"/>
                <w:color w:val="auto"/>
                <w:kern w:val="0"/>
                <w:sz w:val="24"/>
                <w:szCs w:val="24"/>
              </w:rPr>
              <w:instrText xml:space="preserve"> =SUM(ABOVE) \* MERGEFORMAT </w:instrText>
            </w:r>
            <w:r>
              <w:rPr>
                <w:rFonts w:hint="default" w:ascii="宋体" w:hAnsi="宋体" w:eastAsia="宋体" w:cs="宋体"/>
                <w:color w:val="auto"/>
                <w:kern w:val="0"/>
                <w:sz w:val="24"/>
                <w:szCs w:val="24"/>
              </w:rPr>
              <w:fldChar w:fldCharType="separate"/>
            </w:r>
            <w:r>
              <w:rPr>
                <w:rFonts w:hint="default" w:ascii="宋体" w:hAnsi="宋体" w:eastAsia="宋体" w:cs="宋体"/>
                <w:color w:val="auto"/>
                <w:kern w:val="0"/>
                <w:sz w:val="24"/>
                <w:szCs w:val="24"/>
              </w:rPr>
              <w:t>19</w:t>
            </w:r>
            <w:r>
              <w:rPr>
                <w:rFonts w:hint="default" w:ascii="宋体" w:hAnsi="宋体" w:eastAsia="宋体" w:cs="宋体"/>
                <w:color w:val="auto"/>
                <w:kern w:val="0"/>
                <w:sz w:val="24"/>
                <w:szCs w:val="24"/>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lang w:val="en-US" w:eastAsia="zh-CN"/>
              </w:rPr>
            </w:pPr>
            <w:r>
              <w:rPr>
                <w:rFonts w:hint="eastAsia" w:ascii="宋体" w:hAnsi="宋体" w:eastAsia="宋体" w:cs="宋体"/>
                <w:i w:val="0"/>
                <w:iCs w:val="0"/>
                <w:color w:val="000000"/>
                <w:kern w:val="0"/>
                <w:sz w:val="24"/>
                <w:szCs w:val="24"/>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154" w:type="dxa"/>
            <w:vAlign w:val="center"/>
          </w:tcPr>
          <w:p>
            <w:pPr>
              <w:widowControl/>
              <w:spacing w:after="0" w:line="240" w:lineRule="auto"/>
              <w:ind w:firstLine="0" w:firstLineChars="0"/>
              <w:jc w:val="center"/>
              <w:rPr>
                <w:rFonts w:ascii="宋体" w:hAnsi="宋体" w:eastAsia="宋体"/>
                <w:sz w:val="24"/>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20</w:t>
            </w:r>
            <w:r>
              <w:rPr>
                <w:rFonts w:hint="default" w:ascii="宋体" w:hAnsi="宋体" w:eastAsia="宋体" w:cs="宋体"/>
                <w:color w:val="auto"/>
                <w:kern w:val="0"/>
                <w:sz w:val="24"/>
                <w:szCs w:val="24"/>
                <w:lang w:eastAsia="zh-CN"/>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lang w:val="en-US" w:eastAsia="zh-CN"/>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14.98</w:t>
            </w:r>
            <w:r>
              <w:rPr>
                <w:rFonts w:hint="default" w:ascii="宋体" w:hAnsi="宋体" w:eastAsia="宋体" w:cs="宋体"/>
                <w:color w:val="auto"/>
                <w:kern w:val="0"/>
                <w:sz w:val="24"/>
                <w:szCs w:val="24"/>
                <w:lang w:eastAsia="zh-CN"/>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lang w:val="en-US"/>
              </w:rPr>
            </w:pPr>
            <w:r>
              <w:rPr>
                <w:rFonts w:hint="eastAsia" w:ascii="宋体" w:hAnsi="宋体" w:eastAsia="宋体" w:cs="宋体"/>
                <w:i w:val="0"/>
                <w:iCs w:val="0"/>
                <w:color w:val="000000"/>
                <w:kern w:val="0"/>
                <w:sz w:val="24"/>
                <w:szCs w:val="24"/>
                <w:u w:val="none"/>
                <w:lang w:val="en-US" w:eastAsia="zh-CN" w:bidi="ar"/>
              </w:rPr>
              <w:t>74.9%</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1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ascii="宋体" w:hAnsi="宋体" w:eastAsia="宋体"/>
                <w:sz w:val="24"/>
              </w:rPr>
            </w:pPr>
            <w:r>
              <w:rPr>
                <w:rFonts w:hint="eastAsia" w:ascii="宋体" w:hAnsi="宋体" w:eastAsia="宋体" w:cs="宋体"/>
                <w:color w:val="auto"/>
                <w:kern w:val="0"/>
                <w:sz w:val="24"/>
                <w:szCs w:val="24"/>
                <w:lang w:eastAsia="zh-CN"/>
              </w:rPr>
              <w:fldChar w:fldCharType="begin"/>
            </w:r>
            <w:r>
              <w:rPr>
                <w:rFonts w:hint="eastAsia" w:ascii="宋体" w:hAnsi="宋体" w:eastAsia="宋体" w:cs="宋体"/>
                <w:color w:val="auto"/>
                <w:kern w:val="0"/>
                <w:sz w:val="24"/>
                <w:szCs w:val="24"/>
                <w:lang w:eastAsia="zh-CN"/>
              </w:rPr>
              <w:instrText xml:space="preserve"> =SUM(ABOVE) \* MERGEFORMAT </w:instrText>
            </w:r>
            <w:r>
              <w:rPr>
                <w:rFonts w:hint="eastAsia" w:ascii="宋体" w:hAnsi="宋体" w:eastAsia="宋体" w:cs="宋体"/>
                <w:color w:val="auto"/>
                <w:kern w:val="0"/>
                <w:sz w:val="24"/>
                <w:szCs w:val="24"/>
                <w:lang w:eastAsia="zh-CN"/>
              </w:rPr>
              <w:fldChar w:fldCharType="separate"/>
            </w:r>
            <w:r>
              <w:rPr>
                <w:rFonts w:hint="eastAsia" w:ascii="宋体" w:hAnsi="宋体" w:eastAsia="宋体" w:cs="宋体"/>
                <w:color w:val="auto"/>
                <w:kern w:val="0"/>
                <w:sz w:val="24"/>
                <w:szCs w:val="24"/>
                <w:lang w:eastAsia="zh-CN"/>
              </w:rPr>
              <w:t>30</w:t>
            </w:r>
            <w:r>
              <w:rPr>
                <w:rFonts w:hint="eastAsia" w:ascii="宋体" w:hAnsi="宋体" w:eastAsia="宋体" w:cs="宋体"/>
                <w:color w:val="auto"/>
                <w:kern w:val="0"/>
                <w:sz w:val="24"/>
                <w:szCs w:val="24"/>
                <w:lang w:eastAsia="zh-CN"/>
              </w:rPr>
              <w:fldChar w:fldCharType="end"/>
            </w:r>
          </w:p>
        </w:tc>
        <w:tc>
          <w:tcPr>
            <w:tcW w:w="215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宋体" w:hAnsi="宋体" w:eastAsia="宋体"/>
                <w:sz w:val="24"/>
                <w:lang w:val="en-US" w:eastAsia="zh-CN"/>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26.91</w:t>
            </w:r>
            <w:r>
              <w:rPr>
                <w:rFonts w:hint="default" w:ascii="宋体" w:hAnsi="宋体" w:eastAsia="宋体" w:cs="宋体"/>
                <w:color w:val="auto"/>
                <w:kern w:val="0"/>
                <w:sz w:val="24"/>
                <w:szCs w:val="24"/>
                <w:lang w:eastAsia="zh-CN"/>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sz w:val="24"/>
                <w:lang w:val="en-US" w:eastAsia="zh-CN"/>
              </w:rPr>
            </w:pPr>
            <w:r>
              <w:rPr>
                <w:rFonts w:hint="eastAsia" w:ascii="宋体" w:hAnsi="宋体" w:eastAsia="宋体" w:cs="宋体"/>
                <w:i w:val="0"/>
                <w:iCs w:val="0"/>
                <w:color w:val="000000"/>
                <w:kern w:val="0"/>
                <w:sz w:val="24"/>
                <w:szCs w:val="24"/>
                <w:u w:val="none"/>
                <w:lang w:val="en-US" w:eastAsia="zh-CN" w:bidi="ar"/>
              </w:rPr>
              <w:t>89.7%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154" w:type="dxa"/>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30</w:t>
            </w:r>
          </w:p>
        </w:tc>
        <w:tc>
          <w:tcPr>
            <w:tcW w:w="2154" w:type="dxa"/>
            <w:vAlign w:val="center"/>
          </w:tcPr>
          <w:p>
            <w:pPr>
              <w:spacing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30</w:t>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lang w:val="en-US"/>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154"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154" w:type="dxa"/>
            <w:tcBorders>
              <w:bottom w:val="double" w:color="auto" w:sz="4" w:space="0"/>
            </w:tcBorders>
            <w:vAlign w:val="center"/>
          </w:tcPr>
          <w:p>
            <w:pPr>
              <w:spacing w:line="240" w:lineRule="auto"/>
              <w:ind w:firstLine="0" w:firstLineChars="0"/>
              <w:jc w:val="center"/>
              <w:rPr>
                <w:rFonts w:hint="default" w:ascii="宋体" w:hAnsi="宋体" w:eastAsia="宋体"/>
                <w:sz w:val="24"/>
              </w:rPr>
            </w:pPr>
            <w:r>
              <w:rPr>
                <w:rFonts w:hint="default" w:ascii="宋体" w:hAnsi="宋体" w:eastAsia="宋体"/>
                <w:sz w:val="24"/>
              </w:rPr>
              <w:fldChar w:fldCharType="begin"/>
            </w:r>
            <w:r>
              <w:rPr>
                <w:rFonts w:hint="default" w:ascii="宋体" w:hAnsi="宋体" w:eastAsia="宋体"/>
                <w:sz w:val="24"/>
              </w:rPr>
              <w:instrText xml:space="preserve"> =SUM(ABOVE) \* MERGEFORMAT </w:instrText>
            </w:r>
            <w:r>
              <w:rPr>
                <w:rFonts w:hint="default" w:ascii="宋体" w:hAnsi="宋体" w:eastAsia="宋体"/>
                <w:sz w:val="24"/>
              </w:rPr>
              <w:fldChar w:fldCharType="separate"/>
            </w:r>
            <w:r>
              <w:rPr>
                <w:rFonts w:hint="default" w:ascii="宋体" w:hAnsi="宋体" w:eastAsia="宋体"/>
                <w:sz w:val="24"/>
              </w:rPr>
              <w:t>90.89</w:t>
            </w:r>
            <w:r>
              <w:rPr>
                <w:rFonts w:hint="default" w:ascii="宋体" w:hAnsi="宋体" w:eastAsia="宋体"/>
                <w:sz w:val="24"/>
              </w:rPr>
              <w:fldChar w:fldCharType="end"/>
            </w:r>
          </w:p>
        </w:tc>
        <w:tc>
          <w:tcPr>
            <w:tcW w:w="2154" w:type="dxa"/>
            <w:tcBorders>
              <w:bottom w:val="doub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sz w:val="24"/>
              </w:rPr>
            </w:pPr>
            <w:r>
              <w:rPr>
                <w:rFonts w:hint="eastAsia" w:ascii="宋体" w:hAnsi="宋体" w:eastAsia="宋体" w:cs="宋体"/>
                <w:i w:val="0"/>
                <w:iCs w:val="0"/>
                <w:color w:val="000000"/>
                <w:kern w:val="0"/>
                <w:sz w:val="22"/>
                <w:szCs w:val="22"/>
                <w:u w:val="none"/>
                <w:lang w:val="en-US" w:eastAsia="zh-CN" w:bidi="ar"/>
              </w:rPr>
              <w:fldChar w:fldCharType="begin"/>
            </w:r>
            <w:r>
              <w:rPr>
                <w:rFonts w:hint="eastAsia" w:ascii="宋体" w:hAnsi="宋体" w:eastAsia="宋体" w:cs="宋体"/>
                <w:i w:val="0"/>
                <w:iCs w:val="0"/>
                <w:color w:val="000000"/>
                <w:kern w:val="0"/>
                <w:sz w:val="22"/>
                <w:szCs w:val="22"/>
                <w:u w:val="none"/>
                <w:lang w:val="en-US" w:eastAsia="zh-CN" w:bidi="ar"/>
              </w:rPr>
              <w:instrText xml:space="preserve"> =SUM(ABOVE) \* MERGEFORMAT </w:instrText>
            </w:r>
            <w:r>
              <w:rPr>
                <w:rFonts w:hint="eastAsia" w:ascii="宋体" w:hAnsi="宋体" w:eastAsia="宋体" w:cs="宋体"/>
                <w:i w:val="0"/>
                <w:iCs w:val="0"/>
                <w:color w:val="000000"/>
                <w:kern w:val="0"/>
                <w:sz w:val="22"/>
                <w:szCs w:val="22"/>
                <w:u w:val="none"/>
                <w:lang w:val="en-US" w:eastAsia="zh-CN" w:bidi="ar"/>
              </w:rPr>
              <w:fldChar w:fldCharType="separate"/>
            </w:r>
            <w:r>
              <w:rPr>
                <w:rFonts w:hint="eastAsia" w:ascii="宋体" w:hAnsi="宋体" w:eastAsia="宋体" w:cs="宋体"/>
                <w:i w:val="0"/>
                <w:iCs w:val="0"/>
                <w:color w:val="000000"/>
                <w:kern w:val="0"/>
                <w:sz w:val="22"/>
                <w:szCs w:val="22"/>
                <w:u w:val="none"/>
                <w:lang w:val="en-US" w:eastAsia="zh-CN" w:bidi="ar"/>
              </w:rPr>
              <w:t>90.89</w:t>
            </w:r>
            <w:r>
              <w:rPr>
                <w:rFonts w:hint="eastAsia" w:ascii="宋体" w:hAnsi="宋体" w:eastAsia="宋体" w:cs="宋体"/>
                <w:i w:val="0"/>
                <w:iCs w:val="0"/>
                <w:color w:val="000000"/>
                <w:kern w:val="0"/>
                <w:sz w:val="22"/>
                <w:szCs w:val="22"/>
                <w:u w:val="none"/>
                <w:lang w:val="en-US" w:eastAsia="zh-CN" w:bidi="ar"/>
              </w:rPr>
              <w:fldChar w:fldCharType="end"/>
            </w:r>
            <w:r>
              <w:rPr>
                <w:rFonts w:hint="eastAsia" w:ascii="宋体" w:hAnsi="宋体" w:eastAsia="宋体" w:cs="宋体"/>
                <w:i w:val="0"/>
                <w:iCs w:val="0"/>
                <w:color w:val="000000"/>
                <w:kern w:val="0"/>
                <w:sz w:val="22"/>
                <w:szCs w:val="22"/>
                <w:u w:val="none"/>
                <w:lang w:val="en-US" w:eastAsia="zh-CN" w:bidi="ar"/>
              </w:rPr>
              <w:t>%</w:t>
            </w:r>
          </w:p>
        </w:tc>
      </w:tr>
    </w:tbl>
    <w:p>
      <w:pPr>
        <w:pStyle w:val="5"/>
        <w:keepNext w:val="0"/>
        <w:keepLines w:val="0"/>
        <w:pageBreakBefore w:val="0"/>
        <w:widowControl w:val="0"/>
        <w:kinsoku/>
        <w:wordWrap/>
        <w:overflowPunct/>
        <w:topLinePunct w:val="0"/>
        <w:autoSpaceDE/>
        <w:autoSpaceDN/>
        <w:bidi w:val="0"/>
        <w:adjustRightInd/>
        <w:snapToGrid/>
        <w:spacing w:before="157" w:beforeLines="50" w:line="360" w:lineRule="auto"/>
        <w:ind w:firstLine="560" w:firstLineChars="200"/>
        <w:textAlignment w:val="auto"/>
        <w:rPr>
          <w:rFonts w:hint="eastAsia"/>
          <w:sz w:val="28"/>
          <w:szCs w:val="36"/>
          <w:lang w:val="en-US" w:eastAsia="zh-CN"/>
        </w:rPr>
      </w:pPr>
      <w:bookmarkStart w:id="61" w:name="_Toc17752"/>
      <w:r>
        <w:rPr>
          <w:rFonts w:hint="eastAsia"/>
          <w:sz w:val="28"/>
          <w:szCs w:val="36"/>
          <w:lang w:val="en-US" w:eastAsia="zh-CN"/>
        </w:rPr>
        <w:t>（二）评价结论</w:t>
      </w:r>
      <w:bookmarkEnd w:id="61"/>
    </w:p>
    <w:p>
      <w:pPr>
        <w:pStyle w:val="3"/>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从现场调研情况看，交通局2020年统筹整合财政资金的投入很大程度上改善了宁武县农村道路的原有状况，加快了宁武县城镇化进程，促进了村容村貌整洁，给民众创建了良好的出行环境，受到了农村百姓的广泛点赞，人民群众获得感、幸福感明显增强。从项目审核、宣传发动到竣工验收流通的各个环节，坚持建管并重，严格落实项目职责，并建立了“路长制”、成立了“路长办”、招聘了道路专管员，加强了农村道路养护的工作效果，取得了一定的成绩。但在以下几方面存在一些不足：资金结算、合同管理较为薄弱；农村公路工程建设中，未严格推行“七公开”制度。</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left"/>
        <w:textAlignment w:val="auto"/>
        <w:outlineLvl w:val="0"/>
        <w:rPr>
          <w:rFonts w:hint="default" w:ascii="黑体" w:hAnsi="黑体" w:eastAsia="黑体" w:cs="黑体"/>
          <w:i w:val="0"/>
          <w:iCs w:val="0"/>
          <w:caps w:val="0"/>
          <w:color w:val="000000"/>
          <w:spacing w:val="0"/>
          <w:sz w:val="28"/>
          <w:szCs w:val="27"/>
          <w:highlight w:val="none"/>
          <w:lang w:val="en-US" w:eastAsia="zh-CN"/>
        </w:rPr>
      </w:pPr>
      <w:bookmarkStart w:id="62" w:name="_Toc13776"/>
      <w:bookmarkStart w:id="63" w:name="_Toc13119"/>
      <w:r>
        <w:rPr>
          <w:rFonts w:hint="eastAsia" w:ascii="黑体" w:hAnsi="黑体" w:eastAsia="黑体" w:cs="黑体"/>
          <w:i w:val="0"/>
          <w:iCs w:val="0"/>
          <w:caps w:val="0"/>
          <w:color w:val="000000"/>
          <w:spacing w:val="0"/>
          <w:sz w:val="28"/>
          <w:szCs w:val="27"/>
          <w:highlight w:val="none"/>
          <w:lang w:val="en-US" w:eastAsia="zh-CN"/>
        </w:rPr>
        <w:t>四、存在的问题</w:t>
      </w:r>
      <w:bookmarkEnd w:id="62"/>
      <w:bookmarkEnd w:id="6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1"/>
        <w:rPr>
          <w:rFonts w:hint="eastAsia" w:ascii="楷体_GB2312" w:hAnsi="楷体_GB2312" w:eastAsia="楷体_GB2312" w:cstheme="minorBidi"/>
          <w:kern w:val="2"/>
          <w:sz w:val="28"/>
          <w:szCs w:val="24"/>
          <w:lang w:val="en-US" w:eastAsia="zh-CN" w:bidi="ar-SA"/>
        </w:rPr>
      </w:pPr>
      <w:bookmarkStart w:id="64" w:name="_Toc16500"/>
      <w:r>
        <w:rPr>
          <w:rFonts w:hint="eastAsia" w:ascii="楷体_GB2312" w:hAnsi="楷体_GB2312" w:eastAsia="楷体_GB2312" w:cstheme="minorBidi"/>
          <w:kern w:val="2"/>
          <w:sz w:val="28"/>
          <w:szCs w:val="24"/>
          <w:lang w:val="en-US" w:eastAsia="zh-CN" w:bidi="ar-SA"/>
        </w:rPr>
        <w:t>（一）资金结算、合同管理较为薄弱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一是个别项目</w:t>
      </w:r>
      <w:r>
        <w:rPr>
          <w:rFonts w:hint="eastAsia" w:ascii="仿宋_GB2312" w:hAnsi="仿宋_GB2312" w:eastAsia="仿宋_GB2312" w:cs="仿宋_GB2312"/>
          <w:sz w:val="28"/>
          <w:szCs w:val="28"/>
        </w:rPr>
        <w:t>结算审计前进度款支付比例超过90%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存在超前支付现象，</w:t>
      </w:r>
      <w:r>
        <w:rPr>
          <w:rFonts w:hint="eastAsia" w:ascii="仿宋_GB2312" w:hAnsi="仿宋_GB2312" w:eastAsia="仿宋_GB2312" w:cs="仿宋_GB2312"/>
          <w:sz w:val="28"/>
          <w:szCs w:val="28"/>
          <w:lang w:eastAsia="zh-CN"/>
        </w:rPr>
        <w:t>2016年农村公路拓宽改造，村道养护及大中修及安防工程，五坝线、隔怀线</w:t>
      </w:r>
      <w:r>
        <w:rPr>
          <w:rFonts w:hint="eastAsia" w:ascii="仿宋_GB2312" w:hAnsi="仿宋_GB2312" w:eastAsia="仿宋_GB2312" w:cs="仿宋_GB2312"/>
          <w:sz w:val="28"/>
          <w:szCs w:val="28"/>
          <w:lang w:val="en-US" w:eastAsia="zh-CN"/>
        </w:rPr>
        <w:t>改造工程审计前拨付工程款达94.94%</w:t>
      </w:r>
      <w:r>
        <w:rPr>
          <w:rFonts w:hint="eastAsia" w:ascii="仿宋_GB2312" w:hAnsi="仿宋_GB2312" w:eastAsia="仿宋_GB2312" w:cs="仿宋_GB2312"/>
          <w:sz w:val="28"/>
          <w:szCs w:val="28"/>
          <w:lang w:eastAsia="zh-CN"/>
        </w:rPr>
        <w:t>；2017年农村公路“畅返不畅”工程</w:t>
      </w:r>
      <w:r>
        <w:rPr>
          <w:rFonts w:hint="eastAsia" w:ascii="仿宋_GB2312" w:hAnsi="仿宋_GB2312" w:eastAsia="仿宋_GB2312" w:cs="仿宋_GB2312"/>
          <w:sz w:val="28"/>
          <w:szCs w:val="28"/>
          <w:lang w:val="en-US" w:eastAsia="zh-CN"/>
        </w:rPr>
        <w:t>审计前拨付工程款达91.12%，宁武县经济技术园区新能源节能环保产业园科技路审计前拨付工程款达90.40%。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Cs w:val="28"/>
        </w:rPr>
      </w:pPr>
      <w:r>
        <w:rPr>
          <w:rFonts w:hint="eastAsia" w:ascii="仿宋_GB2312" w:hAnsi="仿宋_GB2312" w:eastAsia="仿宋_GB2312" w:cs="仿宋_GB2312"/>
          <w:sz w:val="28"/>
          <w:szCs w:val="28"/>
          <w:lang w:val="en-US" w:eastAsia="zh-CN"/>
        </w:rPr>
        <w:t>二是大部分施工</w:t>
      </w:r>
      <w:r>
        <w:rPr>
          <w:rFonts w:hint="eastAsia" w:ascii="仿宋_GB2312" w:hAnsi="仿宋_GB2312" w:eastAsia="仿宋_GB2312" w:cs="仿宋_GB2312"/>
          <w:sz w:val="28"/>
          <w:szCs w:val="28"/>
          <w:lang w:eastAsia="zh-CN"/>
        </w:rPr>
        <w:t>合同</w:t>
      </w:r>
      <w:r>
        <w:rPr>
          <w:rFonts w:hint="eastAsia" w:ascii="仿宋_GB2312" w:hAnsi="仿宋_GB2312" w:eastAsia="仿宋_GB2312" w:cs="仿宋_GB2312"/>
          <w:sz w:val="28"/>
          <w:szCs w:val="28"/>
          <w:lang w:val="en-US" w:eastAsia="zh-CN"/>
        </w:rPr>
        <w:t>付款方式</w:t>
      </w:r>
      <w:r>
        <w:rPr>
          <w:rFonts w:hint="eastAsia" w:ascii="仿宋_GB2312" w:hAnsi="仿宋_GB2312" w:eastAsia="仿宋_GB2312" w:cs="仿宋_GB2312"/>
          <w:sz w:val="28"/>
          <w:szCs w:val="28"/>
          <w:lang w:eastAsia="zh-CN"/>
        </w:rPr>
        <w:t>未载明、</w:t>
      </w:r>
      <w:r>
        <w:rPr>
          <w:rFonts w:hint="eastAsia" w:ascii="仿宋_GB2312" w:hAnsi="仿宋_GB2312" w:eastAsia="仿宋_GB2312" w:cs="仿宋_GB2312"/>
          <w:sz w:val="28"/>
          <w:szCs w:val="28"/>
          <w:lang w:val="en-US" w:eastAsia="zh-CN"/>
        </w:rPr>
        <w:t>工程</w:t>
      </w:r>
      <w:r>
        <w:rPr>
          <w:rFonts w:hint="eastAsia" w:ascii="仿宋_GB2312" w:hAnsi="仿宋_GB2312" w:eastAsia="仿宋_GB2312" w:cs="仿宋_GB2312"/>
          <w:sz w:val="28"/>
          <w:szCs w:val="28"/>
        </w:rPr>
        <w:t>质量保证</w:t>
      </w:r>
      <w:r>
        <w:rPr>
          <w:rFonts w:hint="eastAsia" w:ascii="仿宋_GB2312" w:hAnsi="仿宋_GB2312" w:eastAsia="仿宋_GB2312" w:cs="仿宋_GB2312"/>
          <w:sz w:val="28"/>
          <w:szCs w:val="28"/>
          <w:lang w:val="en-US" w:eastAsia="zh-CN"/>
        </w:rPr>
        <w:t>金未约定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预付</w:t>
      </w:r>
      <w:r>
        <w:rPr>
          <w:rFonts w:hint="eastAsia" w:ascii="仿宋_GB2312" w:hAnsi="仿宋_GB2312" w:eastAsia="仿宋_GB2312" w:cs="仿宋_GB2312"/>
          <w:sz w:val="28"/>
          <w:szCs w:val="28"/>
          <w:lang w:val="en-US" w:eastAsia="zh-CN"/>
        </w:rPr>
        <w:t>账款</w:t>
      </w:r>
      <w:r>
        <w:rPr>
          <w:rFonts w:hint="eastAsia" w:ascii="仿宋_GB2312" w:hAnsi="仿宋_GB2312" w:eastAsia="仿宋_GB2312" w:cs="仿宋_GB2312"/>
          <w:sz w:val="28"/>
          <w:szCs w:val="28"/>
        </w:rPr>
        <w:t>支付</w:t>
      </w:r>
      <w:r>
        <w:rPr>
          <w:rFonts w:hint="eastAsia" w:ascii="仿宋_GB2312" w:hAnsi="仿宋_GB2312" w:eastAsia="仿宋_GB2312" w:cs="仿宋_GB2312"/>
          <w:sz w:val="28"/>
          <w:szCs w:val="28"/>
          <w:lang w:val="en-US" w:eastAsia="zh-CN"/>
        </w:rPr>
        <w:t>比例</w:t>
      </w:r>
      <w:r>
        <w:rPr>
          <w:rFonts w:hint="eastAsia" w:ascii="仿宋_GB2312" w:hAnsi="仿宋_GB2312" w:eastAsia="仿宋_GB2312" w:cs="仿宋_GB2312"/>
          <w:sz w:val="28"/>
          <w:szCs w:val="28"/>
        </w:rPr>
        <w:t>合同</w:t>
      </w:r>
      <w:r>
        <w:rPr>
          <w:rFonts w:hint="eastAsia" w:ascii="仿宋_GB2312" w:hAnsi="仿宋_GB2312" w:eastAsia="仿宋_GB2312" w:cs="仿宋_GB2312"/>
          <w:sz w:val="28"/>
          <w:szCs w:val="28"/>
          <w:lang w:val="en-US" w:eastAsia="zh-CN"/>
        </w:rPr>
        <w:t>未</w:t>
      </w:r>
      <w:r>
        <w:rPr>
          <w:rFonts w:hint="eastAsia" w:ascii="仿宋_GB2312" w:hAnsi="仿宋_GB2312" w:eastAsia="仿宋_GB2312" w:cs="仿宋_GB2312"/>
          <w:sz w:val="28"/>
          <w:szCs w:val="28"/>
        </w:rPr>
        <w:t>约定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实际</w:t>
      </w:r>
      <w:r>
        <w:rPr>
          <w:rFonts w:hint="eastAsia" w:ascii="仿宋_GB2312" w:hAnsi="仿宋_GB2312" w:eastAsia="仿宋_GB2312" w:cs="仿宋_GB2312"/>
          <w:sz w:val="28"/>
          <w:szCs w:val="28"/>
        </w:rPr>
        <w:t>支付</w:t>
      </w:r>
      <w:r>
        <w:rPr>
          <w:rFonts w:hint="eastAsia" w:ascii="仿宋_GB2312" w:hAnsi="仿宋_GB2312" w:eastAsia="仿宋_GB2312" w:cs="仿宋_GB2312"/>
          <w:sz w:val="28"/>
          <w:szCs w:val="28"/>
          <w:lang w:val="en-US" w:eastAsia="zh-CN"/>
        </w:rPr>
        <w:t>结算</w:t>
      </w:r>
      <w:r>
        <w:rPr>
          <w:rFonts w:hint="eastAsia" w:ascii="仿宋_GB2312" w:hAnsi="仿宋_GB2312" w:eastAsia="仿宋_GB2312" w:cs="仿宋_GB2312"/>
          <w:sz w:val="28"/>
          <w:szCs w:val="28"/>
        </w:rPr>
        <w:t>与合同约定不完全相符，合同履行管理与结算管理较薄弱。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1"/>
        <w:rPr>
          <w:rFonts w:hint="eastAsia" w:ascii="仿宋_GB2312" w:hAnsi="仿宋_GB2312" w:eastAsia="仿宋_GB2312" w:cs="仿宋_GB2312"/>
          <w:kern w:val="2"/>
          <w:sz w:val="28"/>
          <w:szCs w:val="28"/>
          <w:lang w:val="en-US" w:eastAsia="zh-CN" w:bidi="ar-SA"/>
        </w:rPr>
      </w:pPr>
      <w:r>
        <w:rPr>
          <w:rFonts w:hint="eastAsia" w:ascii="楷体_GB2312" w:hAnsi="楷体_GB2312" w:eastAsia="楷体_GB2312" w:cstheme="minorBidi"/>
          <w:kern w:val="2"/>
          <w:sz w:val="28"/>
          <w:szCs w:val="24"/>
          <w:lang w:val="en-US" w:eastAsia="zh-CN" w:bidi="ar-SA"/>
        </w:rPr>
        <w:t>（二）农村公路工程建设中，未严格推行“七公开”制度。</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根据交通运输部发布《关于推行农村公路建设“七公开”制度的意见》，要求在农村公路建设中公开七方面内容，主动接受社会监督，农村公路建设中应强</w:t>
      </w:r>
      <w:r>
        <w:rPr>
          <w:rFonts w:hint="eastAsia" w:ascii="仿宋_GB2312" w:hAnsi="仿宋_GB2312" w:eastAsia="仿宋_GB2312" w:cs="仿宋_GB2312"/>
          <w:kern w:val="2"/>
          <w:sz w:val="28"/>
          <w:szCs w:val="28"/>
          <w:lang w:val="en-US" w:eastAsia="zh-CN"/>
        </w:rPr>
        <w:t>化“七公开”制度执行，要求计划公开、建设资金来源公开、补助标准公开、招投标公开、施工过程管理公开、质量</w:t>
      </w:r>
      <w:r>
        <w:rPr>
          <w:rFonts w:hint="eastAsia" w:ascii="仿宋_GB2312" w:hAnsi="仿宋_GB2312" w:eastAsia="仿宋_GB2312" w:cs="仿宋_GB2312"/>
          <w:sz w:val="28"/>
          <w:szCs w:val="28"/>
          <w:lang w:val="en-US" w:eastAsia="zh-CN"/>
        </w:rPr>
        <w:t>监督和交竣工验收公开、资金使用公开等信息按照规定向社会公开，在项目工程建设前、建设中、建设后需设置项目公示牌，项目实行全程公示。评价组在现场调研中，大部分相关资料未能提供，对于“七公开”制度执行情况存在质疑。</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left"/>
        <w:textAlignment w:val="auto"/>
        <w:outlineLvl w:val="0"/>
        <w:rPr>
          <w:rFonts w:hint="default" w:ascii="黑体" w:hAnsi="黑体" w:eastAsia="黑体" w:cs="黑体"/>
          <w:i w:val="0"/>
          <w:iCs w:val="0"/>
          <w:caps w:val="0"/>
          <w:color w:val="000000"/>
          <w:spacing w:val="0"/>
          <w:sz w:val="28"/>
          <w:szCs w:val="27"/>
          <w:highlight w:val="none"/>
          <w:lang w:val="en-US" w:eastAsia="zh-CN"/>
        </w:rPr>
      </w:pPr>
      <w:r>
        <w:rPr>
          <w:rFonts w:hint="eastAsia" w:ascii="黑体" w:hAnsi="黑体" w:eastAsia="黑体" w:cs="黑体"/>
          <w:i w:val="0"/>
          <w:iCs w:val="0"/>
          <w:caps w:val="0"/>
          <w:color w:val="000000"/>
          <w:spacing w:val="0"/>
          <w:sz w:val="28"/>
          <w:szCs w:val="27"/>
          <w:highlight w:val="none"/>
          <w:lang w:val="en-US" w:eastAsia="zh-CN"/>
        </w:rPr>
        <w:t>五、有关建议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1"/>
        <w:rPr>
          <w:rFonts w:hint="eastAsia" w:ascii="仿宋_GB2312" w:hAnsi="仿宋_GB2312" w:eastAsia="仿宋_GB2312" w:cs="仿宋_GB2312"/>
          <w:kern w:val="2"/>
          <w:sz w:val="28"/>
          <w:szCs w:val="28"/>
          <w:lang w:val="en-US" w:eastAsia="zh-CN" w:bidi="ar-SA"/>
        </w:rPr>
      </w:pPr>
      <w:r>
        <w:rPr>
          <w:rFonts w:hint="eastAsia" w:ascii="楷体_GB2312" w:hAnsi="楷体_GB2312" w:eastAsia="楷体_GB2312" w:cstheme="minorBidi"/>
          <w:kern w:val="2"/>
          <w:sz w:val="28"/>
          <w:szCs w:val="24"/>
          <w:lang w:val="en-US" w:eastAsia="zh-CN" w:bidi="ar-SA"/>
        </w:rPr>
        <w:t>（一）加强资金结算和合同管理</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一是工程款累计支付总额一般不能超过合同总价的</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%，也可根据谈判签订合同的约定执行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凡属于规定审计范围内的，其工程款支付不得超过合同约定的额度，等审计结束后方可支付。尾款或合同约定最后一次支付款，待工程全部竣工验收后报审计部门提出审计意见后执行。</w:t>
      </w:r>
      <w:r>
        <w:rPr>
          <w:rFonts w:hint="eastAsia" w:ascii="仿宋_GB2312" w:hAnsi="仿宋_GB2312" w:eastAsia="仿宋_GB2312" w:cs="仿宋_GB2312"/>
          <w:sz w:val="28"/>
          <w:szCs w:val="28"/>
          <w:lang w:val="en-US" w:eastAsia="zh-CN"/>
        </w:rPr>
        <w:t>二是</w:t>
      </w:r>
      <w:r>
        <w:rPr>
          <w:rFonts w:hint="eastAsia" w:ascii="仿宋_GB2312" w:hAnsi="仿宋_GB2312" w:eastAsia="仿宋_GB2312" w:cs="仿宋_GB2312"/>
          <w:sz w:val="28"/>
          <w:szCs w:val="28"/>
        </w:rPr>
        <w:t>签订施工</w:t>
      </w:r>
      <w:r>
        <w:rPr>
          <w:rFonts w:hint="eastAsia" w:ascii="仿宋_GB2312" w:hAnsi="仿宋_GB2312" w:eastAsia="仿宋_GB2312" w:cs="仿宋_GB2312"/>
          <w:sz w:val="28"/>
          <w:szCs w:val="28"/>
          <w:lang w:val="en-US" w:eastAsia="zh-CN"/>
        </w:rPr>
        <w:t>合同时</w:t>
      </w:r>
      <w:r>
        <w:rPr>
          <w:rFonts w:hint="eastAsia" w:ascii="仿宋_GB2312" w:hAnsi="仿宋_GB2312" w:eastAsia="仿宋_GB2312" w:cs="仿宋_GB2312"/>
          <w:sz w:val="28"/>
          <w:szCs w:val="28"/>
        </w:rPr>
        <w:t>，明确质量保证金金额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乙方提供质量保证金的方式，明确乙方提交设计成果日期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乙方若不能按时完工应承担的违约责任等，使合同规范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完整，避免责任纠纷。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1"/>
        <w:rPr>
          <w:rFonts w:hint="eastAsia" w:ascii="楷体_GB2312" w:hAnsi="楷体_GB2312" w:eastAsia="楷体_GB2312" w:cstheme="minorBidi"/>
          <w:kern w:val="2"/>
          <w:sz w:val="28"/>
          <w:szCs w:val="24"/>
          <w:lang w:val="en-US" w:eastAsia="zh-CN" w:bidi="ar-SA"/>
        </w:rPr>
      </w:pPr>
      <w:r>
        <w:rPr>
          <w:rFonts w:hint="eastAsia" w:ascii="楷体_GB2312" w:hAnsi="楷体_GB2312" w:eastAsia="楷体_GB2312" w:cstheme="minorBidi"/>
          <w:kern w:val="2"/>
          <w:sz w:val="28"/>
          <w:szCs w:val="24"/>
          <w:lang w:val="en-US" w:eastAsia="zh-CN" w:bidi="ar-SA"/>
        </w:rPr>
        <w:t>（二）加强“七公开”制度执行力度，确保公路建设接受社会监督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交通运输局是推进“七公开”工作的责任主体，落实好主体责任的基础上，加强对乡镇、村委会“七公开”工作的业务指导和相关从业单位的督促要求，研读交通运输部发布的《关于推行农村公路建设“七公开”制度的意见》文件要求，必要时组织相关工作人员进行培训学习，了解相关制度要求，务必做到直接工作人员对公告公示的要求清楚明了，提高公示公告制度化、规范化、标准化水平，同时要注重宣传引导，充分利用新闻媒体、政府网站、宣传标语、村务公告等传播媒介宣传“七公开”工作，让基层政府、社会各界和农民群众了解农村公路发展政策措施，树立交通运输部门良好的行业形象，营造农村公路发展氛围。</w:t>
      </w:r>
      <w:bookmarkEnd w:id="64"/>
    </w:p>
    <w:sectPr>
      <w:headerReference r:id="rId6" w:type="first"/>
      <w:footerReference r:id="rId8" w:type="first"/>
      <w:headerReference r:id="rId5" w:type="default"/>
      <w:footerReference r:id="rId7"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62CDDB-E566-4DC1-A6DA-B82FF5C3D7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2" w:fontKey="{C0E78253-FCD5-4F01-88CA-16A9400CAF51}"/>
  </w:font>
  <w:font w:name="仿宋_GB2312">
    <w:panose1 w:val="02010609030101010101"/>
    <w:charset w:val="86"/>
    <w:family w:val="modern"/>
    <w:pitch w:val="default"/>
    <w:sig w:usb0="00000001" w:usb1="080E0000" w:usb2="00000000" w:usb3="00000000" w:csb0="00040000" w:csb1="00000000"/>
    <w:embedRegular r:id="rId3" w:fontKey="{2AB4756F-20DF-41C6-8CD1-E147745A445A}"/>
  </w:font>
  <w:font w:name="微软雅黑">
    <w:panose1 w:val="020B0503020204020204"/>
    <w:charset w:val="86"/>
    <w:family w:val="auto"/>
    <w:pitch w:val="default"/>
    <w:sig w:usb0="80000287" w:usb1="2ACF3C50" w:usb2="00000016" w:usb3="00000000" w:csb0="0004001F" w:csb1="00000000"/>
    <w:embedRegular r:id="rId4" w:fontKey="{C73C7096-631F-46B8-86C3-FDCEC826A9B9}"/>
  </w:font>
  <w:font w:name="方正小标宋简体">
    <w:panose1 w:val="03000509000000000000"/>
    <w:charset w:val="86"/>
    <w:family w:val="auto"/>
    <w:pitch w:val="default"/>
    <w:sig w:usb0="00000001" w:usb1="080E0000" w:usb2="00000000" w:usb3="00000000" w:csb0="00040000" w:csb1="00000000"/>
    <w:embedRegular r:id="rId5" w:fontKey="{992948B9-4265-4FA1-ADC0-2D552BFE7E0B}"/>
  </w:font>
  <w:font w:name="仿宋">
    <w:panose1 w:val="02010609060101010101"/>
    <w:charset w:val="86"/>
    <w:family w:val="modern"/>
    <w:pitch w:val="default"/>
    <w:sig w:usb0="800002BF" w:usb1="38CF7CFA" w:usb2="00000016" w:usb3="00000000" w:csb0="00040001" w:csb1="00000000"/>
    <w:embedRegular r:id="rId6" w:fontKey="{C71BE2DD-6770-413B-8F3C-C51AC7783C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79"/>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posOffset>2796540</wp:posOffset>
              </wp:positionH>
              <wp:positionV relativeFrom="paragraph">
                <wp:posOffset>-158750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2pt;margin-top:-12.5pt;height:144pt;width:144pt;mso-position-horizontal-relative:margin;mso-wrap-style:none;z-index:251660288;mso-width-relative:page;mso-height-relative:page;" filled="f" stroked="f" coordsize="21600,21600" o:gfxdata="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PTXrvYAAAACwEAAA8AAAAAAAAAAQAgAAAAIgAAAGRycy9kb3ducmV2Lnht&#10;bFBLAQIUABQAAAAIAIdO4kC6jDgrMgIAAGEEAAAOAAAAAAAAAAEAIAAAACcBAABkcnMvZTJvRG9j&#10;LnhtbFBLBQYAAAAABgAGAFkBAADLBQ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none" w:color="auto" w:sz="0" w:space="1"/>
      </w:pBdr>
      <w:kinsoku/>
      <w:wordWrap/>
      <w:overflowPunct/>
      <w:topLinePunct w:val="0"/>
      <w:autoSpaceDE/>
      <w:autoSpaceDN/>
      <w:bidi w:val="0"/>
      <w:adjustRightInd w:val="0"/>
      <w:snapToGrid w:val="0"/>
      <w:ind w:left="2700" w:hanging="3300" w:hangingChars="1500"/>
      <w:jc w:val="both"/>
      <w:textAlignment w:val="auto"/>
      <w:rPr>
        <w:rFonts w:hint="eastAsia" w:ascii="宋体" w:hAnsi="宋体" w:eastAsia="宋体" w:cs="宋体"/>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left="180" w:hanging="180" w:hangingChars="100"/>
      <w:jc w:val="left"/>
      <w:rPr>
        <w:sz w:val="24"/>
        <w:szCs w:val="24"/>
      </w:rPr>
    </w:pPr>
    <w:r>
      <w:drawing>
        <wp:inline distT="0" distB="0" distL="114300" distR="114300">
          <wp:extent cx="295275" cy="2952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295275" cy="29527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宁武县交通局2020年统筹整合财政资金</w:t>
    </w:r>
    <w:r>
      <w:rPr>
        <w:rFonts w:hint="eastAsia" w:ascii="宋体" w:hAnsi="宋体" w:eastAsia="宋体" w:cs="宋体"/>
        <w:sz w:val="22"/>
        <w:szCs w:val="22"/>
      </w:rPr>
      <w:t>绩效评价报告</w:t>
    </w:r>
  </w:p>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val="0"/>
      <w:snapToGrid w:val="0"/>
      <w:ind w:left="2700" w:hanging="3300" w:hangingChars="1500"/>
      <w:jc w:val="both"/>
      <w:textAlignment w:val="auto"/>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40665" cy="24066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宁武县交通局2020年统筹整合财政资金绩效评价报告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left="180" w:hanging="180" w:hangingChars="100"/>
      <w:jc w:val="left"/>
      <w:rPr>
        <w:sz w:val="24"/>
        <w:szCs w:val="24"/>
      </w:rPr>
    </w:pPr>
    <w:r>
      <w:drawing>
        <wp:inline distT="0" distB="0" distL="114300" distR="114300">
          <wp:extent cx="295275" cy="2952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stretch>
                    <a:fillRect/>
                  </a:stretch>
                </pic:blipFill>
                <pic:spPr>
                  <a:xfrm>
                    <a:off x="0" y="0"/>
                    <a:ext cx="295275" cy="29527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宁武县交通局2020年统筹整合财政资金</w:t>
    </w:r>
    <w:r>
      <w:rPr>
        <w:rFonts w:hint="eastAsia" w:ascii="宋体" w:hAnsi="宋体" w:eastAsia="宋体" w:cs="宋体"/>
        <w:sz w:val="22"/>
        <w:szCs w:val="22"/>
      </w:rPr>
      <w:t>绩效评价报告</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6E06439F"/>
    <w:rsid w:val="0018099E"/>
    <w:rsid w:val="006C7BAC"/>
    <w:rsid w:val="00746725"/>
    <w:rsid w:val="00FE7B94"/>
    <w:rsid w:val="01205519"/>
    <w:rsid w:val="01352E76"/>
    <w:rsid w:val="01B57279"/>
    <w:rsid w:val="02ED0977"/>
    <w:rsid w:val="030D40BE"/>
    <w:rsid w:val="05CD6039"/>
    <w:rsid w:val="068B4166"/>
    <w:rsid w:val="06B50D16"/>
    <w:rsid w:val="07B1758D"/>
    <w:rsid w:val="07CD02C0"/>
    <w:rsid w:val="07FF394E"/>
    <w:rsid w:val="089662BB"/>
    <w:rsid w:val="0A24498D"/>
    <w:rsid w:val="0AEE5B9C"/>
    <w:rsid w:val="0BD936D7"/>
    <w:rsid w:val="0C0D00F8"/>
    <w:rsid w:val="0DCB7AA1"/>
    <w:rsid w:val="0E807E3A"/>
    <w:rsid w:val="0ED3646C"/>
    <w:rsid w:val="0FA2224D"/>
    <w:rsid w:val="0FCF5B88"/>
    <w:rsid w:val="10D23A0E"/>
    <w:rsid w:val="123E24E6"/>
    <w:rsid w:val="124E421B"/>
    <w:rsid w:val="13C07FD2"/>
    <w:rsid w:val="146B158C"/>
    <w:rsid w:val="147C265E"/>
    <w:rsid w:val="153230A6"/>
    <w:rsid w:val="153E45E5"/>
    <w:rsid w:val="159F1A13"/>
    <w:rsid w:val="16B61725"/>
    <w:rsid w:val="17465999"/>
    <w:rsid w:val="17E81EB8"/>
    <w:rsid w:val="188216FA"/>
    <w:rsid w:val="19940C3D"/>
    <w:rsid w:val="19B457FE"/>
    <w:rsid w:val="1A285952"/>
    <w:rsid w:val="1A5F094F"/>
    <w:rsid w:val="1B750FCE"/>
    <w:rsid w:val="1C112D43"/>
    <w:rsid w:val="1C6C56C6"/>
    <w:rsid w:val="1EC6232B"/>
    <w:rsid w:val="1FA3607E"/>
    <w:rsid w:val="20E64474"/>
    <w:rsid w:val="21352D06"/>
    <w:rsid w:val="218E73CC"/>
    <w:rsid w:val="220307A9"/>
    <w:rsid w:val="247C28D0"/>
    <w:rsid w:val="247E48D6"/>
    <w:rsid w:val="25402BBA"/>
    <w:rsid w:val="25425B1A"/>
    <w:rsid w:val="258778A8"/>
    <w:rsid w:val="25EC6E23"/>
    <w:rsid w:val="269E759F"/>
    <w:rsid w:val="26A876F7"/>
    <w:rsid w:val="270C62B7"/>
    <w:rsid w:val="27C2106B"/>
    <w:rsid w:val="2826784C"/>
    <w:rsid w:val="287A7C8A"/>
    <w:rsid w:val="28D41FB3"/>
    <w:rsid w:val="293F2A3B"/>
    <w:rsid w:val="29B844D4"/>
    <w:rsid w:val="2A0F0460"/>
    <w:rsid w:val="2A5104E2"/>
    <w:rsid w:val="2B00104A"/>
    <w:rsid w:val="2B006133"/>
    <w:rsid w:val="2BDD1626"/>
    <w:rsid w:val="2C4E7372"/>
    <w:rsid w:val="2C6A4DE4"/>
    <w:rsid w:val="2DAD5ACE"/>
    <w:rsid w:val="2F9A290B"/>
    <w:rsid w:val="3199108F"/>
    <w:rsid w:val="32171FB4"/>
    <w:rsid w:val="338D4C23"/>
    <w:rsid w:val="3429359C"/>
    <w:rsid w:val="353F6A6E"/>
    <w:rsid w:val="358F0452"/>
    <w:rsid w:val="37B568A1"/>
    <w:rsid w:val="39BE266D"/>
    <w:rsid w:val="39DC741D"/>
    <w:rsid w:val="3B96663F"/>
    <w:rsid w:val="3CB15E2F"/>
    <w:rsid w:val="3DAB63D2"/>
    <w:rsid w:val="3E3C10AD"/>
    <w:rsid w:val="3E4F2AC2"/>
    <w:rsid w:val="3E9A0E6C"/>
    <w:rsid w:val="3EA370A9"/>
    <w:rsid w:val="3FAC1192"/>
    <w:rsid w:val="3FB8417B"/>
    <w:rsid w:val="3FE7430F"/>
    <w:rsid w:val="403519B5"/>
    <w:rsid w:val="40BC26A4"/>
    <w:rsid w:val="412A6431"/>
    <w:rsid w:val="42D53EF1"/>
    <w:rsid w:val="43053265"/>
    <w:rsid w:val="451908DB"/>
    <w:rsid w:val="457F1EF2"/>
    <w:rsid w:val="470078ED"/>
    <w:rsid w:val="47B10A89"/>
    <w:rsid w:val="483E1634"/>
    <w:rsid w:val="4A6F4C2B"/>
    <w:rsid w:val="4D31441A"/>
    <w:rsid w:val="4D73233C"/>
    <w:rsid w:val="4E5853B8"/>
    <w:rsid w:val="508B75FE"/>
    <w:rsid w:val="513545E4"/>
    <w:rsid w:val="51B84C4E"/>
    <w:rsid w:val="522B58DB"/>
    <w:rsid w:val="53806A65"/>
    <w:rsid w:val="53E06EF3"/>
    <w:rsid w:val="546D647B"/>
    <w:rsid w:val="54FA37FF"/>
    <w:rsid w:val="563C3A04"/>
    <w:rsid w:val="568A5CEF"/>
    <w:rsid w:val="57AA1051"/>
    <w:rsid w:val="57D16074"/>
    <w:rsid w:val="5BE60399"/>
    <w:rsid w:val="5C5B0B6B"/>
    <w:rsid w:val="5CCC7DC6"/>
    <w:rsid w:val="5D080CF3"/>
    <w:rsid w:val="5D1F603D"/>
    <w:rsid w:val="5DF43025"/>
    <w:rsid w:val="5E1E58CE"/>
    <w:rsid w:val="5EAE366E"/>
    <w:rsid w:val="6000284F"/>
    <w:rsid w:val="60652DC4"/>
    <w:rsid w:val="613C52FF"/>
    <w:rsid w:val="659A434C"/>
    <w:rsid w:val="663C0E4B"/>
    <w:rsid w:val="6683777D"/>
    <w:rsid w:val="66F44096"/>
    <w:rsid w:val="672141D6"/>
    <w:rsid w:val="675C71F0"/>
    <w:rsid w:val="67C3777C"/>
    <w:rsid w:val="682916DB"/>
    <w:rsid w:val="68A36ACA"/>
    <w:rsid w:val="68EF37AC"/>
    <w:rsid w:val="6A7E433A"/>
    <w:rsid w:val="6C1F3963"/>
    <w:rsid w:val="6C4E694D"/>
    <w:rsid w:val="6C77554D"/>
    <w:rsid w:val="6E06439F"/>
    <w:rsid w:val="6EBF2ABF"/>
    <w:rsid w:val="6ECC2751"/>
    <w:rsid w:val="6FB2478F"/>
    <w:rsid w:val="73A3738A"/>
    <w:rsid w:val="748B2D0C"/>
    <w:rsid w:val="76307636"/>
    <w:rsid w:val="764852AA"/>
    <w:rsid w:val="774F375E"/>
    <w:rsid w:val="776A25D2"/>
    <w:rsid w:val="77DA69AA"/>
    <w:rsid w:val="783562BD"/>
    <w:rsid w:val="787C3EEC"/>
    <w:rsid w:val="788833AC"/>
    <w:rsid w:val="7946631B"/>
    <w:rsid w:val="79B83CC3"/>
    <w:rsid w:val="7BB37273"/>
    <w:rsid w:val="7BC43DF5"/>
    <w:rsid w:val="7BE61F6C"/>
    <w:rsid w:val="7C4340E2"/>
    <w:rsid w:val="7C817D22"/>
    <w:rsid w:val="7CEA58C8"/>
    <w:rsid w:val="7E1944F9"/>
    <w:rsid w:val="7F3663FF"/>
    <w:rsid w:val="7F777071"/>
    <w:rsid w:val="7F8A164E"/>
    <w:rsid w:val="7FAF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ind w:firstLine="200"/>
      <w:outlineLvl w:val="0"/>
    </w:pPr>
    <w:rPr>
      <w:rFonts w:ascii="黑体" w:hAnsi="黑体" w:eastAsia="黑体"/>
      <w:bCs/>
      <w:kern w:val="44"/>
      <w:szCs w:val="44"/>
    </w:rPr>
  </w:style>
  <w:style w:type="paragraph" w:styleId="5">
    <w:name w:val="heading 2"/>
    <w:basedOn w:val="1"/>
    <w:next w:val="1"/>
    <w:unhideWhenUsed/>
    <w:qFormat/>
    <w:uiPriority w:val="0"/>
    <w:pPr>
      <w:ind w:firstLine="200"/>
      <w:outlineLvl w:val="1"/>
    </w:pPr>
    <w:rPr>
      <w:rFonts w:ascii="楷体_GB2312" w:hAnsi="楷体_GB2312" w:eastAsia="楷体_GB2312"/>
    </w:rPr>
  </w:style>
  <w:style w:type="paragraph" w:styleId="6">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0"/>
  </w:style>
  <w:style w:type="character" w:styleId="18">
    <w:name w:val="FollowedHyperlink"/>
    <w:basedOn w:val="16"/>
    <w:qFormat/>
    <w:uiPriority w:val="0"/>
    <w:rPr>
      <w:color w:val="222222"/>
      <w:u w:val="none"/>
    </w:rPr>
  </w:style>
  <w:style w:type="character" w:styleId="19">
    <w:name w:val="Emphasis"/>
    <w:basedOn w:val="16"/>
    <w:qFormat/>
    <w:uiPriority w:val="0"/>
    <w:rPr>
      <w:i/>
    </w:rPr>
  </w:style>
  <w:style w:type="character" w:styleId="20">
    <w:name w:val="Hyperlink"/>
    <w:basedOn w:val="16"/>
    <w:unhideWhenUsed/>
    <w:qFormat/>
    <w:uiPriority w:val="99"/>
    <w:rPr>
      <w:color w:val="0563C1" w:themeColor="hyperlink"/>
      <w:u w:val="single"/>
      <w14:textFill>
        <w14:solidFill>
          <w14:schemeClr w14:val="hlink"/>
        </w14:solidFill>
      </w14:textFill>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character" w:customStyle="1" w:styleId="24">
    <w:name w:val="font11"/>
    <w:basedOn w:val="16"/>
    <w:qFormat/>
    <w:uiPriority w:val="0"/>
    <w:rPr>
      <w:rFonts w:hint="eastAsia" w:ascii="宋体" w:hAnsi="宋体" w:eastAsia="宋体" w:cs="宋体"/>
      <w:b/>
      <w:bCs/>
      <w:color w:val="000000"/>
      <w:sz w:val="20"/>
      <w:szCs w:val="20"/>
      <w:u w:val="none"/>
    </w:rPr>
  </w:style>
  <w:style w:type="character" w:customStyle="1" w:styleId="25">
    <w:name w:val="font31"/>
    <w:basedOn w:val="16"/>
    <w:qFormat/>
    <w:uiPriority w:val="0"/>
    <w:rPr>
      <w:rFonts w:hint="eastAsia" w:ascii="宋体" w:hAnsi="宋体" w:eastAsia="宋体" w:cs="宋体"/>
      <w:b/>
      <w:bCs/>
      <w:color w:val="000000"/>
      <w:sz w:val="20"/>
      <w:szCs w:val="20"/>
      <w:u w:val="none"/>
    </w:rPr>
  </w:style>
  <w:style w:type="paragraph" w:customStyle="1" w:styleId="26">
    <w:name w:val="WPSOffice手动目录 3"/>
    <w:qFormat/>
    <w:uiPriority w:val="0"/>
    <w:pPr>
      <w:ind w:leftChars="400"/>
    </w:pPr>
    <w:rPr>
      <w:rFonts w:ascii="Times New Roman" w:hAnsi="Times New Roman" w:eastAsia="宋体" w:cs="Times New Roman"/>
      <w:sz w:val="20"/>
      <w:szCs w:val="20"/>
    </w:rPr>
  </w:style>
  <w:style w:type="character" w:customStyle="1" w:styleId="27">
    <w:name w:val="owl-numbers"/>
    <w:basedOn w:val="16"/>
    <w:qFormat/>
    <w:uiPriority w:val="0"/>
    <w:rPr>
      <w:color w:val="FFFFFF"/>
      <w:sz w:val="14"/>
      <w:szCs w:val="14"/>
    </w:rPr>
  </w:style>
  <w:style w:type="paragraph" w:customStyle="1" w:styleId="28">
    <w:name w:val="x"/>
    <w:basedOn w:val="1"/>
    <w:qFormat/>
    <w:uiPriority w:val="0"/>
    <w:pPr>
      <w:shd w:val="clear" w:fill="FFFFFF"/>
      <w:jc w:val="left"/>
    </w:pPr>
    <w:rPr>
      <w:kern w:val="0"/>
      <w:lang w:val="en-US" w:eastAsia="zh-CN" w:bidi="ar"/>
    </w:rPr>
  </w:style>
  <w:style w:type="paragraph" w:customStyle="1" w:styleId="29">
    <w:name w:val="x2"/>
    <w:basedOn w:val="1"/>
    <w:qFormat/>
    <w:uiPriority w:val="0"/>
    <w:pPr>
      <w:pBdr>
        <w:bottom w:val="dashed" w:color="EFEFEF" w:sz="4" w:space="0"/>
      </w:pBdr>
      <w:spacing w:before="0" w:beforeAutospacing="0" w:after="0" w:afterAutospacing="0"/>
      <w:ind w:left="0" w:right="0"/>
      <w:jc w:val="center"/>
    </w:pPr>
    <w:rPr>
      <w:rFonts w:ascii="微软雅黑" w:hAnsi="微软雅黑" w:eastAsia="微软雅黑" w:cs="微软雅黑"/>
      <w:color w:val="A9A9A9"/>
      <w:kern w:val="0"/>
      <w:sz w:val="16"/>
      <w:szCs w:val="1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5648</Words>
  <Characters>6171</Characters>
  <Lines>0</Lines>
  <Paragraphs>0</Paragraphs>
  <TotalTime>7</TotalTime>
  <ScaleCrop>false</ScaleCrop>
  <LinksUpToDate>false</LinksUpToDate>
  <CharactersWithSpaces>6177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2022-03-03T07:02:00Z</dcterms:created>
  <dc:creator>Agar</dc:creator>
  <cp:lastModifiedBy>查杰。</cp:lastModifiedBy>
  <cp:lastPrinted>2022-03-30T08:22:00Z</cp:lastPrinted>
  <dcterms:modified xsi:type="dcterms:W3CDTF">2022-09-13T11:39:26Z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2735E18DDF4A45FF80C00C0D250E6C76</vt:lpwstr>
  </property>
  <property fmtid="{D5CDD505-2E9C-101B-9397-08002B2CF9AE}" pid="4" name="commondata">
    <vt:lpwstr>eyJoZGlkIjoiNjM1YWI2YjM3YmMyM2M2N2Q3ZDhhNjM1NzA1NDMxOGUifQ==</vt:lpwstr>
  </property>
</Properties>
</file>