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ascii="方正小标宋简体" w:hAnsi="方正小标宋简体" w:eastAsia="方正小标宋简体" w:cs="方正小标宋简体"/>
          <w:sz w:val="44"/>
          <w:szCs w:val="44"/>
        </w:rPr>
      </w:pPr>
    </w:p>
    <w:p>
      <w:pPr>
        <w:widowControl/>
        <w:ind w:firstLine="0" w:firstLineChars="0"/>
        <w:jc w:val="center"/>
        <w:rPr>
          <w:rFonts w:ascii="方正小标宋简体" w:hAnsi="方正小标宋简体" w:eastAsia="方正小标宋简体" w:cs="方正小标宋简体"/>
          <w:sz w:val="44"/>
          <w:szCs w:val="44"/>
        </w:rPr>
      </w:pPr>
    </w:p>
    <w:p>
      <w:pPr>
        <w:widowControl/>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宁武县农业机械化服务中心2020年度</w:t>
      </w:r>
    </w:p>
    <w:p>
      <w:pPr>
        <w:widowControl/>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统筹整合财政资金绩效评价报告</w:t>
      </w:r>
    </w:p>
    <w:p>
      <w:pPr>
        <w:widowControl/>
        <w:ind w:firstLine="0" w:firstLineChars="0"/>
        <w:jc w:val="center"/>
        <w:rPr>
          <w:rFonts w:ascii="方正小标宋简体" w:hAnsi="方正小标宋简体" w:eastAsia="方正小标宋简体" w:cs="方正小标宋简体"/>
          <w:sz w:val="36"/>
          <w:szCs w:val="36"/>
        </w:rPr>
      </w:pPr>
    </w:p>
    <w:p>
      <w:pPr>
        <w:widowControl/>
        <w:ind w:firstLine="560"/>
        <w:rPr>
          <w:rFonts w:asciiTheme="minorHAnsi" w:hAnsiTheme="minorHAnsi"/>
        </w:rPr>
      </w:pPr>
    </w:p>
    <w:p>
      <w:pPr>
        <w:widowControl/>
        <w:ind w:firstLine="560"/>
      </w:pPr>
    </w:p>
    <w:p>
      <w:pPr>
        <w:widowControl/>
        <w:ind w:firstLine="560"/>
      </w:pPr>
    </w:p>
    <w:p>
      <w:pPr>
        <w:widowControl/>
        <w:ind w:firstLine="560"/>
      </w:pPr>
    </w:p>
    <w:p>
      <w:pPr>
        <w:widowControl/>
        <w:ind w:firstLine="560"/>
      </w:pPr>
    </w:p>
    <w:p>
      <w:pPr>
        <w:widowControl/>
        <w:ind w:firstLine="560"/>
      </w:pPr>
    </w:p>
    <w:p>
      <w:pPr>
        <w:widowControl/>
        <w:ind w:firstLine="560"/>
      </w:pPr>
    </w:p>
    <w:p>
      <w:pPr>
        <w:widowControl/>
        <w:ind w:firstLine="640"/>
        <w:jc w:val="left"/>
        <w:rPr>
          <w:rFonts w:ascii="黑体" w:hAnsi="黑体" w:eastAsia="黑体" w:cs="黑体"/>
          <w:sz w:val="32"/>
          <w:szCs w:val="32"/>
        </w:rPr>
      </w:pPr>
    </w:p>
    <w:p>
      <w:pPr>
        <w:pStyle w:val="2"/>
        <w:widowControl/>
        <w:ind w:firstLine="640"/>
        <w:jc w:val="left"/>
        <w:rPr>
          <w:rFonts w:ascii="黑体" w:hAnsi="黑体" w:eastAsia="黑体" w:cs="黑体"/>
          <w:sz w:val="32"/>
          <w:szCs w:val="32"/>
          <w:lang w:val="en-US"/>
        </w:rPr>
      </w:pPr>
      <w:r>
        <w:rPr>
          <w:rFonts w:hint="eastAsia" w:ascii="黑体" w:hAnsi="黑体" w:eastAsia="黑体" w:cs="黑体"/>
          <w:sz w:val="32"/>
          <w:szCs w:val="32"/>
          <w:lang w:val="en-US"/>
        </w:rPr>
        <w:t>单位名称：宁武县农业机械化服务中心</w:t>
      </w:r>
    </w:p>
    <w:p>
      <w:pPr>
        <w:autoSpaceDE w:val="0"/>
        <w:autoSpaceDN w:val="0"/>
        <w:adjustRightInd w:val="0"/>
        <w:ind w:firstLine="640"/>
        <w:jc w:val="left"/>
        <w:rPr>
          <w:rFonts w:ascii="黑体" w:hAnsi="黑体" w:eastAsia="黑体" w:cs="黑体"/>
          <w:kern w:val="0"/>
          <w:sz w:val="32"/>
          <w:szCs w:val="32"/>
        </w:rPr>
      </w:pPr>
      <w:r>
        <w:rPr>
          <w:rFonts w:hint="eastAsia" w:ascii="黑体" w:hAnsi="黑体" w:eastAsia="黑体" w:cs="黑体"/>
          <w:kern w:val="0"/>
          <w:sz w:val="32"/>
          <w:szCs w:val="32"/>
        </w:rPr>
        <w:t>委托单位：宁武县财政局</w:t>
      </w:r>
    </w:p>
    <w:p>
      <w:pPr>
        <w:autoSpaceDE w:val="0"/>
        <w:autoSpaceDN w:val="0"/>
        <w:adjustRightInd w:val="0"/>
        <w:ind w:firstLine="640"/>
        <w:jc w:val="left"/>
        <w:rPr>
          <w:rFonts w:ascii="黑体" w:hAnsi="黑体" w:eastAsia="黑体" w:cs="黑体"/>
          <w:kern w:val="0"/>
          <w:sz w:val="32"/>
          <w:szCs w:val="32"/>
        </w:rPr>
      </w:pPr>
      <w:r>
        <w:rPr>
          <w:rFonts w:hint="eastAsia" w:ascii="黑体" w:hAnsi="黑体" w:eastAsia="黑体" w:cs="黑体"/>
          <w:kern w:val="0"/>
          <w:sz w:val="32"/>
          <w:szCs w:val="32"/>
        </w:rPr>
        <w:t>评价机构：山西亚泰会计师事务所有限公司</w:t>
      </w:r>
    </w:p>
    <w:p>
      <w:pPr>
        <w:pStyle w:val="2"/>
        <w:ind w:firstLine="560"/>
      </w:pPr>
    </w:p>
    <w:p>
      <w:pPr>
        <w:pStyle w:val="2"/>
        <w:widowControl/>
        <w:ind w:firstLine="0" w:firstLineChars="0"/>
        <w:jc w:val="center"/>
        <w:rPr>
          <w:lang w:val="en-US"/>
        </w:rPr>
      </w:pPr>
      <w:r>
        <w:rPr>
          <w:rFonts w:hint="eastAsia" w:ascii="黑体" w:hAnsi="黑体" w:eastAsia="黑体" w:cs="黑体"/>
          <w:sz w:val="32"/>
          <w:szCs w:val="32"/>
          <w:lang w:val="en-US"/>
        </w:rPr>
        <w:t>二〇二一年十月</w:t>
      </w:r>
    </w:p>
    <w:p>
      <w:pPr>
        <w:widowControl/>
        <w:tabs>
          <w:tab w:val="left" w:pos="3198"/>
        </w:tabs>
        <w:ind w:firstLine="560"/>
        <w:jc w:val="left"/>
        <w:sectPr>
          <w:headerReference r:id="rId7" w:type="first"/>
          <w:footerReference r:id="rId10" w:type="first"/>
          <w:headerReference r:id="rId5" w:type="default"/>
          <w:footerReference r:id="rId8" w:type="default"/>
          <w:headerReference r:id="rId6" w:type="even"/>
          <w:footerReference r:id="rId9" w:type="even"/>
          <w:pgSz w:w="11906" w:h="16838"/>
          <w:pgMar w:top="2041" w:right="1417" w:bottom="1417" w:left="1531" w:header="851" w:footer="992" w:gutter="0"/>
          <w:cols w:space="0" w:num="1"/>
          <w:docGrid w:type="lines" w:linePitch="312" w:charSpace="0"/>
        </w:sectPr>
      </w:pPr>
    </w:p>
    <w:p>
      <w:pPr>
        <w:widowControl/>
        <w:ind w:firstLine="0" w:firstLineChars="0"/>
        <w:jc w:val="center"/>
        <w:outlineLvl w:val="0"/>
        <w:rPr>
          <w:rFonts w:ascii="方正小标宋简体" w:hAnsi="方正小标宋简体" w:eastAsia="方正小标宋简体" w:cs="方正小标宋简体"/>
          <w:sz w:val="36"/>
          <w:szCs w:val="36"/>
        </w:rPr>
      </w:pPr>
      <w:bookmarkStart w:id="0" w:name="_Toc17487_WPSOffice_Level1"/>
      <w:bookmarkStart w:id="1" w:name="_Toc2953_WPSOffice_Level1"/>
      <w:bookmarkStart w:id="2" w:name="_Toc24687"/>
      <w:bookmarkStart w:id="3" w:name="_Toc7837"/>
      <w:bookmarkStart w:id="4" w:name="_Toc21952"/>
      <w:r>
        <w:rPr>
          <w:rFonts w:hint="eastAsia" w:ascii="方正小标宋简体" w:hAnsi="方正小标宋简体" w:eastAsia="方正小标宋简体" w:cs="方正小标宋简体"/>
          <w:sz w:val="36"/>
          <w:szCs w:val="36"/>
        </w:rPr>
        <w:t>宁武县农业机械化服务中心2020年度</w:t>
      </w:r>
      <w:bookmarkEnd w:id="0"/>
      <w:bookmarkEnd w:id="1"/>
      <w:bookmarkEnd w:id="2"/>
      <w:bookmarkEnd w:id="3"/>
      <w:bookmarkEnd w:id="4"/>
    </w:p>
    <w:p>
      <w:pPr>
        <w:widowControl/>
        <w:ind w:firstLine="0" w:firstLineChars="0"/>
        <w:jc w:val="center"/>
        <w:outlineLvl w:val="0"/>
        <w:rPr>
          <w:rFonts w:ascii="方正小标宋简体" w:hAnsi="方正小标宋简体" w:eastAsia="方正小标宋简体" w:cs="方正小标宋简体"/>
          <w:sz w:val="36"/>
          <w:szCs w:val="36"/>
        </w:rPr>
      </w:pPr>
      <w:bookmarkStart w:id="5" w:name="_Toc15589_WPSOffice_Level1"/>
      <w:bookmarkStart w:id="6" w:name="_Toc6332"/>
      <w:bookmarkStart w:id="7" w:name="_Toc1814"/>
      <w:bookmarkStart w:id="8" w:name="_Toc8007"/>
      <w:bookmarkStart w:id="9" w:name="_Toc14222_WPSOffice_Level1"/>
      <w:r>
        <w:rPr>
          <w:rFonts w:hint="eastAsia" w:ascii="方正小标宋简体" w:hAnsi="方正小标宋简体" w:eastAsia="方正小标宋简体" w:cs="方正小标宋简体"/>
          <w:sz w:val="36"/>
          <w:szCs w:val="36"/>
        </w:rPr>
        <w:t>统筹整合财政资金绩效评价报告</w:t>
      </w:r>
      <w:bookmarkEnd w:id="5"/>
      <w:bookmarkEnd w:id="6"/>
      <w:bookmarkEnd w:id="7"/>
      <w:bookmarkEnd w:id="8"/>
      <w:bookmarkEnd w:id="9"/>
    </w:p>
    <w:p>
      <w:pPr>
        <w:ind w:firstLine="560"/>
      </w:pPr>
      <w:r>
        <w:rPr>
          <w:rFonts w:hint="eastAsia"/>
        </w:rPr>
        <w:t>为深入贯彻落实《中共山西省委 山西省人民政府关于全面实施预算绩效管理的实施意见》（晋发〔2018〕39号）精神，全面实施预算绩效管理，提高财政资源配置效率和使用效益，增强财政支出的责任和效率意识，受宁武县财政局委托，山西亚泰会计师事务所有限公司于2021年6月对宁武县农业机械化服务中心2020年统筹整合财政资金进行了绩效评价。</w:t>
      </w:r>
    </w:p>
    <w:p>
      <w:pPr>
        <w:pStyle w:val="4"/>
        <w:bidi w:val="0"/>
      </w:pPr>
      <w:r>
        <w:rPr>
          <w:rFonts w:hint="eastAsia"/>
        </w:rPr>
        <w:t>一、基本情况</w:t>
      </w:r>
    </w:p>
    <w:p>
      <w:pPr>
        <w:widowControl/>
        <w:ind w:firstLine="560"/>
        <w:outlineLvl w:val="1"/>
        <w:rPr>
          <w:rFonts w:ascii="楷体_GB2312" w:hAnsi="楷体_GB2312" w:eastAsia="楷体_GB2312" w:cs="楷体_GB2312"/>
          <w:szCs w:val="28"/>
        </w:rPr>
      </w:pPr>
      <w:r>
        <w:rPr>
          <w:rFonts w:hint="eastAsia" w:ascii="楷体_GB2312" w:hAnsi="楷体_GB2312" w:eastAsia="楷体_GB2312" w:cs="楷体_GB2312"/>
          <w:szCs w:val="28"/>
        </w:rPr>
        <w:t>（一）项目背景</w:t>
      </w:r>
    </w:p>
    <w:p>
      <w:pPr>
        <w:widowControl/>
        <w:ind w:firstLine="560"/>
        <w:rPr>
          <w:rFonts w:cs="仿宋_GB2312"/>
          <w:szCs w:val="28"/>
        </w:rPr>
      </w:pPr>
      <w:r>
        <w:rPr>
          <w:rFonts w:hint="eastAsia" w:cs="仿宋_GB2312"/>
          <w:szCs w:val="28"/>
        </w:rPr>
        <w:t>农产品初加工是农业结构调整的重要带动力，也是推进现代农业建设的有力措施，更是农民快速增收的主要途径。加强农产品初加工装备技术推广工作既是山西省各级农机部门的重要职责，也是打造山西省特色农业现代化的主要内容，更是实现“立足大农业、发展大农机、培育新农民、服务新农村”这一总体目标不可或缺的关键环节。为加快补齐农产品产后初加工机械化短板，提高初加工薄弱环节装备技术水平，推动全省农产品初加工机械化向全程、全面、高质、高效发展，根据《山西省农业农村厅关于下达2020年省级农业生产发展资金（第一批）资金分配计划的通知》（晋农计财发〔2020〕2号）精神，2020年农产品产后处理及初加工装备技术（现代农机推广）项目向全省11个市的31个县（市、区）下达资金300万元，重点对农产品产后初加工装备技术试验示范与农村磨坊、油坊、作坊加工设备升级环节进行扶持。</w:t>
      </w:r>
    </w:p>
    <w:p>
      <w:pPr>
        <w:widowControl/>
        <w:ind w:firstLine="560"/>
        <w:rPr>
          <w:rFonts w:cs="仿宋_GB2312"/>
          <w:szCs w:val="28"/>
        </w:rPr>
      </w:pPr>
      <w:r>
        <w:rPr>
          <w:rFonts w:hint="eastAsia" w:cs="仿宋_GB2312"/>
          <w:szCs w:val="28"/>
        </w:rPr>
        <w:t>为保障宁武县2020年农产品产后处理及初加工装备技术示范项目顺利实施，根据山西省农业农村厅《关于下达2020年省级农业农村生产发展资金（第一批）资金分配计划的通知》（晋农计财发〔2020〕2号）以及省农机发展中心2020年现代农机推广项目申报指南等有关精神，结合宁武县农产品初加工及产后处理发展现状，宁武县农业机械服务中心特制定2020年农产品产后处理及初加工装备示范项目实施方案。</w:t>
      </w:r>
    </w:p>
    <w:p>
      <w:pPr>
        <w:pStyle w:val="6"/>
        <w:ind w:firstLine="560"/>
      </w:pPr>
      <w:r>
        <w:rPr>
          <w:rFonts w:hint="eastAsia"/>
        </w:rPr>
        <w:t>（二）主要内容及实施情况</w:t>
      </w:r>
    </w:p>
    <w:p>
      <w:pPr>
        <w:ind w:firstLine="560"/>
      </w:pPr>
      <w:r>
        <w:rPr>
          <w:rFonts w:hint="eastAsia"/>
        </w:rPr>
        <w:t>宁武县农产品产后处理及初加工装备示范项目计划于2020年3月15日开始，至8月30日结束。分安排部署、项目申请、项目选址、资料印发、开工建设、跟踪督查、整改验收、资金兑付、工作总结、绩效考评十个步骤完成，确保补助项目当年落实、当年见效。</w:t>
      </w:r>
    </w:p>
    <w:p>
      <w:pPr>
        <w:ind w:firstLine="560"/>
      </w:pPr>
      <w:r>
        <w:rPr>
          <w:rFonts w:hint="eastAsia"/>
        </w:rPr>
        <w:t>2020年宁武县有两个专业合作社申报现代农机推广项目，包括“宁武县田野种养殖专业合作社”和“宁武县丹香园种养殖专业合作社”。</w:t>
      </w:r>
    </w:p>
    <w:p>
      <w:pPr>
        <w:ind w:firstLine="560"/>
      </w:pPr>
      <w:r>
        <w:rPr>
          <w:rFonts w:hint="eastAsia"/>
        </w:rPr>
        <w:t>宁武县田野种养殖专业合作社因现存机械设备无法满足生产需要，拟引进先进的小杂粮和油料加工机械设备，包括：元罗三机组5.5.4一台，单价5.94万元；旭众XZ-508-3榨油机一台，单价2.10万元；离心滤油机XZ-LL60B一台，单价0.48万元；共8.52万元。</w:t>
      </w:r>
    </w:p>
    <w:p>
      <w:pPr>
        <w:ind w:firstLine="560"/>
        <w:rPr>
          <w:rFonts w:cs="仿宋_GB2312"/>
          <w:szCs w:val="28"/>
        </w:rPr>
      </w:pPr>
      <w:r>
        <w:rPr>
          <w:rFonts w:hint="eastAsia"/>
        </w:rPr>
        <w:t>宁武县丹香园种养殖专业合作社位于余庄乡窑沟村，当地流转本村及邻村土地200亩用于大规模种植杏树及大果沙棘，因杏树收季较短，难以保存，为避免浪费，减少农户损失，拟引进一台多功能果蔬烘干机，单价</w:t>
      </w:r>
      <w:r>
        <w:rPr>
          <w:rFonts w:hint="eastAsia" w:cs="仿宋_GB2312"/>
          <w:szCs w:val="28"/>
        </w:rPr>
        <w:t>9.3万元。</w:t>
      </w:r>
    </w:p>
    <w:p>
      <w:pPr>
        <w:pStyle w:val="6"/>
        <w:ind w:firstLine="560"/>
      </w:pPr>
      <w:r>
        <w:rPr>
          <w:rFonts w:hint="eastAsia"/>
        </w:rPr>
        <w:t>（三）资金投入和使用情况</w:t>
      </w:r>
    </w:p>
    <w:p>
      <w:pPr>
        <w:pStyle w:val="7"/>
        <w:ind w:firstLine="560"/>
      </w:pPr>
      <w:r>
        <w:rPr>
          <w:rFonts w:hint="eastAsia"/>
        </w:rPr>
        <w:t>1.资金投入情况</w:t>
      </w:r>
    </w:p>
    <w:p>
      <w:pPr>
        <w:ind w:firstLine="560"/>
      </w:pPr>
      <w:r>
        <w:rPr>
          <w:rFonts w:hint="eastAsia"/>
        </w:rPr>
        <w:t>本项目下达资金16万元，资金属于省级财政资金，可用于项目点关键技术、加工设备及配套设施的引进、调试与试验，用于加工设备引进的资金须达到省级财政资金的80%以上，其余部分可用于配套设施（电机、配电设施）的引进与试运行期间的调试试验。自筹资金用途不作统一规定。在项目实施过程中，项目单位要严格按照资金使用计划和规定支出，并要有相关发票凭证，杜绝超范围、超标准支出和虚列支出等情况。如资金被统筹整合使用，县农机部门要及时将整合后的资金使用计划函报省、市农机部门。截至2020年12月31日，项目资金16万元全部到位。</w:t>
      </w:r>
    </w:p>
    <w:p>
      <w:pPr>
        <w:pStyle w:val="7"/>
        <w:ind w:firstLine="560"/>
      </w:pPr>
      <w:r>
        <w:rPr>
          <w:rFonts w:hint="eastAsia"/>
        </w:rPr>
        <w:t>2.资金使用情况</w:t>
      </w:r>
    </w:p>
    <w:p>
      <w:pPr>
        <w:ind w:firstLine="560"/>
      </w:pPr>
      <w:r>
        <w:rPr>
          <w:rFonts w:hint="eastAsia"/>
        </w:rPr>
        <w:t>2020年山西省农产品产后处理及初加工装备技术（现代农机推广）项目下达宁武县补贴资金16万元，资金主要用于引进农产品产后处理及初加工装备及设备的调试。</w:t>
      </w:r>
    </w:p>
    <w:p>
      <w:pPr>
        <w:ind w:firstLine="560"/>
      </w:pPr>
      <w:r>
        <w:rPr>
          <w:rFonts w:hint="eastAsia"/>
        </w:rPr>
        <w:t>2020年宁武县田野种养殖专业合作社与宁武县丹香园种养殖专业合作社申报实施项目，每个合作社补贴资金8万元用于购置现代农机具，不足部分由合作社自筹。</w:t>
      </w:r>
    </w:p>
    <w:p>
      <w:pPr>
        <w:ind w:firstLine="560"/>
      </w:pPr>
      <w:r>
        <w:rPr>
          <w:rFonts w:hint="eastAsia"/>
        </w:rPr>
        <w:t>截止2020年12月31日，16万元全部支付到合作社，具体情况如下表1-1：</w:t>
      </w:r>
    </w:p>
    <w:p>
      <w:pPr>
        <w:pStyle w:val="2"/>
        <w:widowControl/>
        <w:adjustRightInd w:val="0"/>
        <w:snapToGrid w:val="0"/>
        <w:ind w:firstLine="0" w:firstLineChars="0"/>
        <w:jc w:val="center"/>
        <w:rPr>
          <w:rFonts w:ascii="宋体" w:hAnsi="宋体" w:eastAsia="宋体" w:cs="宋体"/>
          <w:lang w:val="en-US"/>
        </w:rPr>
      </w:pPr>
      <w:r>
        <w:rPr>
          <w:rFonts w:hint="eastAsia" w:ascii="宋体" w:hAnsi="宋体" w:eastAsia="宋体" w:cs="宋体"/>
          <w:lang w:val="en-US"/>
        </w:rPr>
        <w:t>表1-1 资金支出明细表</w:t>
      </w:r>
    </w:p>
    <w:p>
      <w:pPr>
        <w:pStyle w:val="2"/>
        <w:keepNext w:val="0"/>
        <w:keepLines w:val="0"/>
        <w:pageBreakBefore w:val="0"/>
        <w:widowControl/>
        <w:kinsoku/>
        <w:wordWrap/>
        <w:overflowPunct/>
        <w:topLinePunct w:val="0"/>
        <w:autoSpaceDE/>
        <w:autoSpaceDN/>
        <w:bidi w:val="0"/>
        <w:adjustRightInd/>
        <w:snapToGrid/>
        <w:spacing w:line="240" w:lineRule="auto"/>
        <w:ind w:firstLine="0" w:firstLineChars="0"/>
        <w:jc w:val="right"/>
        <w:textAlignment w:val="auto"/>
        <w:rPr>
          <w:rFonts w:ascii="宋体" w:hAnsi="宋体" w:eastAsia="宋体" w:cs="宋体"/>
          <w:lang w:val="en-US"/>
        </w:rPr>
      </w:pPr>
      <w:r>
        <w:rPr>
          <w:rFonts w:hint="eastAsia" w:ascii="宋体" w:hAnsi="宋体" w:eastAsia="宋体" w:cs="宋体"/>
          <w:lang w:val="en-US"/>
        </w:rPr>
        <w:t>金额单位：万元</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383"/>
        <w:gridCol w:w="1668"/>
        <w:gridCol w:w="1248"/>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704" w:type="dxa"/>
            <w:tcBorders>
              <w:top w:val="double" w:color="auto" w:sz="4" w:space="0"/>
              <w:left w:val="nil"/>
              <w:bottom w:val="dotted" w:color="auto" w:sz="4" w:space="0"/>
              <w:right w:val="dotted" w:color="auto" w:sz="4" w:space="0"/>
            </w:tcBorders>
            <w:shd w:val="clear" w:color="auto" w:fill="BEBEBE" w:themeFill="background1" w:themeFillShade="BF"/>
            <w:vAlign w:val="center"/>
          </w:tcPr>
          <w:p>
            <w:pPr>
              <w:widowControl/>
              <w:spacing w:line="240" w:lineRule="auto"/>
              <w:ind w:firstLine="0" w:firstLineChars="0"/>
              <w:jc w:val="center"/>
              <w:rPr>
                <w:rFonts w:ascii="宋体" w:hAnsi="宋体" w:eastAsia="宋体" w:cs="宋体"/>
                <w:b/>
                <w:bCs/>
                <w:sz w:val="24"/>
              </w:rPr>
            </w:pPr>
            <w:r>
              <w:rPr>
                <w:rFonts w:hint="eastAsia" w:ascii="宋体" w:hAnsi="宋体" w:eastAsia="宋体" w:cs="宋体"/>
                <w:b/>
                <w:bCs/>
                <w:sz w:val="24"/>
              </w:rPr>
              <w:t>合作社</w:t>
            </w:r>
          </w:p>
        </w:tc>
        <w:tc>
          <w:tcPr>
            <w:tcW w:w="2383" w:type="dxa"/>
            <w:tcBorders>
              <w:top w:val="double" w:color="auto" w:sz="4" w:space="0"/>
              <w:left w:val="dotted" w:color="auto" w:sz="4" w:space="0"/>
              <w:bottom w:val="dotted" w:color="auto" w:sz="4" w:space="0"/>
              <w:right w:val="dotted" w:color="auto" w:sz="4" w:space="0"/>
            </w:tcBorders>
            <w:shd w:val="clear" w:color="auto" w:fill="BEBEBE" w:themeFill="background1" w:themeFillShade="BF"/>
            <w:vAlign w:val="center"/>
          </w:tcPr>
          <w:p>
            <w:pPr>
              <w:widowControl/>
              <w:spacing w:line="240" w:lineRule="auto"/>
              <w:ind w:firstLine="0" w:firstLineChars="0"/>
              <w:jc w:val="center"/>
              <w:rPr>
                <w:rFonts w:ascii="宋体" w:hAnsi="宋体" w:eastAsia="宋体" w:cs="宋体"/>
                <w:b/>
                <w:bCs/>
                <w:sz w:val="24"/>
              </w:rPr>
            </w:pPr>
            <w:r>
              <w:rPr>
                <w:rFonts w:hint="eastAsia" w:ascii="宋体" w:hAnsi="宋体" w:eastAsia="宋体" w:cs="宋体"/>
                <w:b/>
                <w:bCs/>
                <w:sz w:val="24"/>
              </w:rPr>
              <w:t>供货方</w:t>
            </w:r>
          </w:p>
        </w:tc>
        <w:tc>
          <w:tcPr>
            <w:tcW w:w="1668" w:type="dxa"/>
            <w:tcBorders>
              <w:top w:val="double" w:color="auto" w:sz="4" w:space="0"/>
              <w:left w:val="dotted" w:color="auto" w:sz="4" w:space="0"/>
              <w:bottom w:val="dotted" w:color="auto" w:sz="4" w:space="0"/>
              <w:right w:val="dotted" w:color="auto" w:sz="4" w:space="0"/>
            </w:tcBorders>
            <w:shd w:val="clear" w:color="auto" w:fill="BEBEBE" w:themeFill="background1" w:themeFillShade="BF"/>
            <w:vAlign w:val="center"/>
          </w:tcPr>
          <w:p>
            <w:pPr>
              <w:widowControl/>
              <w:spacing w:line="240" w:lineRule="auto"/>
              <w:ind w:firstLine="0" w:firstLineChars="0"/>
              <w:jc w:val="center"/>
              <w:rPr>
                <w:rFonts w:ascii="宋体" w:hAnsi="宋体" w:eastAsia="宋体" w:cs="宋体"/>
                <w:b/>
                <w:bCs/>
                <w:sz w:val="24"/>
              </w:rPr>
            </w:pPr>
            <w:r>
              <w:rPr>
                <w:rFonts w:hint="eastAsia" w:ascii="宋体" w:hAnsi="宋体" w:eastAsia="宋体" w:cs="宋体"/>
                <w:b/>
                <w:bCs/>
                <w:sz w:val="24"/>
              </w:rPr>
              <w:t>农机具</w:t>
            </w:r>
          </w:p>
        </w:tc>
        <w:tc>
          <w:tcPr>
            <w:tcW w:w="1248" w:type="dxa"/>
            <w:tcBorders>
              <w:top w:val="double" w:color="auto" w:sz="4" w:space="0"/>
              <w:left w:val="dotted" w:color="auto" w:sz="4" w:space="0"/>
              <w:bottom w:val="dotted" w:color="auto" w:sz="4" w:space="0"/>
              <w:right w:val="dotted" w:color="auto" w:sz="4" w:space="0"/>
            </w:tcBorders>
            <w:shd w:val="clear" w:color="auto" w:fill="BEBEBE" w:themeFill="background1" w:themeFillShade="BF"/>
            <w:vAlign w:val="center"/>
          </w:tcPr>
          <w:p>
            <w:pPr>
              <w:widowControl/>
              <w:spacing w:line="240" w:lineRule="auto"/>
              <w:ind w:firstLine="0" w:firstLineChars="0"/>
              <w:jc w:val="center"/>
              <w:rPr>
                <w:rFonts w:ascii="宋体" w:hAnsi="宋体" w:eastAsia="宋体" w:cs="宋体"/>
                <w:b/>
                <w:bCs/>
                <w:sz w:val="24"/>
              </w:rPr>
            </w:pPr>
            <w:r>
              <w:rPr>
                <w:rFonts w:hint="eastAsia" w:ascii="宋体" w:hAnsi="宋体" w:eastAsia="宋体" w:cs="宋体"/>
                <w:b/>
                <w:bCs/>
                <w:sz w:val="24"/>
              </w:rPr>
              <w:t>补贴金额</w:t>
            </w:r>
          </w:p>
        </w:tc>
        <w:tc>
          <w:tcPr>
            <w:tcW w:w="1519" w:type="dxa"/>
            <w:tcBorders>
              <w:top w:val="double" w:color="auto" w:sz="4" w:space="0"/>
              <w:left w:val="dotted" w:color="auto" w:sz="4" w:space="0"/>
              <w:bottom w:val="dotted" w:color="auto" w:sz="4" w:space="0"/>
              <w:right w:val="nil"/>
            </w:tcBorders>
            <w:shd w:val="clear" w:color="auto" w:fill="BEBEBE" w:themeFill="background1" w:themeFillShade="BF"/>
            <w:vAlign w:val="center"/>
          </w:tcPr>
          <w:p>
            <w:pPr>
              <w:widowControl/>
              <w:spacing w:line="240" w:lineRule="auto"/>
              <w:ind w:firstLine="0" w:firstLineChars="0"/>
              <w:jc w:val="center"/>
              <w:rPr>
                <w:rFonts w:ascii="宋体" w:hAnsi="宋体" w:eastAsia="宋体" w:cs="宋体"/>
                <w:b/>
                <w:bCs/>
                <w:sz w:val="24"/>
              </w:rPr>
            </w:pPr>
            <w:r>
              <w:rPr>
                <w:rFonts w:hint="eastAsia" w:ascii="宋体" w:hAnsi="宋体" w:eastAsia="宋体" w:cs="宋体"/>
                <w:b/>
                <w:bCs/>
                <w:sz w:val="24"/>
              </w:rPr>
              <w:t>支付时间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04" w:type="dxa"/>
            <w:tcBorders>
              <w:top w:val="dotted" w:color="auto" w:sz="4" w:space="0"/>
              <w:left w:val="nil"/>
              <w:bottom w:val="dotted" w:color="auto" w:sz="4" w:space="0"/>
              <w:right w:val="dotted" w:color="auto" w:sz="4" w:space="0"/>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宁武县丹香园种养殖专业合作社</w:t>
            </w:r>
          </w:p>
        </w:tc>
        <w:tc>
          <w:tcPr>
            <w:tcW w:w="2383"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山西港旭节能烘干设备科技有限公司</w:t>
            </w:r>
          </w:p>
        </w:tc>
        <w:tc>
          <w:tcPr>
            <w:tcW w:w="1668"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果蔬烘干机一台</w:t>
            </w:r>
          </w:p>
        </w:tc>
        <w:tc>
          <w:tcPr>
            <w:tcW w:w="1248"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8.00</w:t>
            </w:r>
          </w:p>
        </w:tc>
        <w:tc>
          <w:tcPr>
            <w:tcW w:w="1519" w:type="dxa"/>
            <w:tcBorders>
              <w:top w:val="dotted" w:color="auto" w:sz="4" w:space="0"/>
              <w:left w:val="dotted" w:color="auto" w:sz="4" w:space="0"/>
              <w:bottom w:val="dotted" w:color="auto" w:sz="4" w:space="0"/>
              <w:right w:val="nil"/>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2020.11.05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04" w:type="dxa"/>
            <w:vMerge w:val="restart"/>
            <w:tcBorders>
              <w:top w:val="dotted" w:color="auto" w:sz="4" w:space="0"/>
              <w:left w:val="nil"/>
              <w:bottom w:val="dotted" w:color="auto" w:sz="4" w:space="0"/>
              <w:right w:val="dotted" w:color="auto" w:sz="4" w:space="0"/>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宁武县田野种养殖专业合作社</w:t>
            </w:r>
          </w:p>
        </w:tc>
        <w:tc>
          <w:tcPr>
            <w:tcW w:w="2383"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运城市晋丰粮食机械制造有限公司</w:t>
            </w:r>
          </w:p>
        </w:tc>
        <w:tc>
          <w:tcPr>
            <w:tcW w:w="1668"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元罗三机组5.5.4一台</w:t>
            </w:r>
          </w:p>
        </w:tc>
        <w:tc>
          <w:tcPr>
            <w:tcW w:w="1248" w:type="dxa"/>
            <w:vMerge w:val="restart"/>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8.00</w:t>
            </w:r>
          </w:p>
        </w:tc>
        <w:tc>
          <w:tcPr>
            <w:tcW w:w="1519" w:type="dxa"/>
            <w:vMerge w:val="restart"/>
            <w:tcBorders>
              <w:top w:val="dotted" w:color="auto" w:sz="4" w:space="0"/>
              <w:left w:val="dotted" w:color="auto" w:sz="4" w:space="0"/>
              <w:bottom w:val="dotted" w:color="auto" w:sz="4" w:space="0"/>
              <w:right w:val="nil"/>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2020.11.05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04" w:type="dxa"/>
            <w:vMerge w:val="continue"/>
            <w:tcBorders>
              <w:top w:val="dotted" w:color="auto" w:sz="4" w:space="0"/>
              <w:left w:val="nil"/>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p>
        </w:tc>
        <w:tc>
          <w:tcPr>
            <w:tcW w:w="2383"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安徽旭众智能科技有限公司</w:t>
            </w:r>
          </w:p>
        </w:tc>
        <w:tc>
          <w:tcPr>
            <w:tcW w:w="1668"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XZ-508-3榨油机一台</w:t>
            </w:r>
          </w:p>
        </w:tc>
        <w:tc>
          <w:tcPr>
            <w:tcW w:w="1248" w:type="dxa"/>
            <w:vMerge w:val="continue"/>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p>
        </w:tc>
        <w:tc>
          <w:tcPr>
            <w:tcW w:w="1519" w:type="dxa"/>
            <w:vMerge w:val="continue"/>
            <w:tcBorders>
              <w:top w:val="dotted" w:color="auto" w:sz="4" w:space="0"/>
              <w:left w:val="dotted" w:color="auto" w:sz="4" w:space="0"/>
              <w:bottom w:val="dotted" w:color="auto" w:sz="4" w:space="0"/>
              <w:right w:val="nil"/>
            </w:tcBorders>
            <w:vAlign w:val="center"/>
          </w:tcPr>
          <w:p>
            <w:pPr>
              <w:widowControl/>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04" w:type="dxa"/>
            <w:vMerge w:val="continue"/>
            <w:tcBorders>
              <w:top w:val="dotted" w:color="auto" w:sz="4" w:space="0"/>
              <w:left w:val="nil"/>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p>
        </w:tc>
        <w:tc>
          <w:tcPr>
            <w:tcW w:w="2383"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安徽旭众智能科技有限公司</w:t>
            </w:r>
          </w:p>
        </w:tc>
        <w:tc>
          <w:tcPr>
            <w:tcW w:w="1668"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XZ-LL60B离心滤油机一台</w:t>
            </w:r>
          </w:p>
        </w:tc>
        <w:tc>
          <w:tcPr>
            <w:tcW w:w="1248" w:type="dxa"/>
            <w:vMerge w:val="continue"/>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p>
        </w:tc>
        <w:tc>
          <w:tcPr>
            <w:tcW w:w="1519" w:type="dxa"/>
            <w:vMerge w:val="continue"/>
            <w:tcBorders>
              <w:top w:val="dotted" w:color="auto" w:sz="4" w:space="0"/>
              <w:left w:val="dotted" w:color="auto" w:sz="4" w:space="0"/>
              <w:bottom w:val="dotted" w:color="auto" w:sz="4" w:space="0"/>
              <w:right w:val="nil"/>
            </w:tcBorders>
            <w:vAlign w:val="center"/>
          </w:tcPr>
          <w:p>
            <w:pPr>
              <w:widowControl/>
              <w:spacing w:line="240" w:lineRule="auto"/>
              <w:ind w:firstLine="0" w:firstLineChars="0"/>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04" w:type="dxa"/>
            <w:tcBorders>
              <w:top w:val="dotted" w:color="auto" w:sz="4" w:space="0"/>
              <w:left w:val="nil"/>
              <w:bottom w:val="double"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合计</w:t>
            </w:r>
          </w:p>
        </w:tc>
        <w:tc>
          <w:tcPr>
            <w:tcW w:w="2383" w:type="dxa"/>
            <w:tcBorders>
              <w:top w:val="dotted" w:color="auto" w:sz="4" w:space="0"/>
              <w:left w:val="dotted" w:color="auto" w:sz="4" w:space="0"/>
              <w:bottom w:val="double"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p>
        </w:tc>
        <w:tc>
          <w:tcPr>
            <w:tcW w:w="1668" w:type="dxa"/>
            <w:tcBorders>
              <w:top w:val="dotted" w:color="auto" w:sz="4" w:space="0"/>
              <w:left w:val="dotted" w:color="auto" w:sz="4" w:space="0"/>
              <w:bottom w:val="double"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p>
        </w:tc>
        <w:tc>
          <w:tcPr>
            <w:tcW w:w="1248" w:type="dxa"/>
            <w:tcBorders>
              <w:top w:val="dotted" w:color="auto" w:sz="4" w:space="0"/>
              <w:left w:val="dotted" w:color="auto" w:sz="4" w:space="0"/>
              <w:bottom w:val="double"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16.00</w:t>
            </w:r>
          </w:p>
        </w:tc>
        <w:tc>
          <w:tcPr>
            <w:tcW w:w="1519" w:type="dxa"/>
            <w:tcBorders>
              <w:top w:val="dotted" w:color="auto" w:sz="4" w:space="0"/>
              <w:left w:val="dotted" w:color="auto" w:sz="4" w:space="0"/>
              <w:bottom w:val="double" w:color="auto" w:sz="4" w:space="0"/>
              <w:right w:val="nil"/>
            </w:tcBorders>
            <w:vAlign w:val="center"/>
          </w:tcPr>
          <w:p>
            <w:pPr>
              <w:widowControl/>
              <w:spacing w:line="240" w:lineRule="auto"/>
              <w:ind w:firstLine="0" w:firstLineChars="0"/>
              <w:jc w:val="center"/>
              <w:rPr>
                <w:rFonts w:ascii="宋体" w:hAnsi="宋体" w:eastAsia="宋体" w:cs="宋体"/>
                <w:sz w:val="24"/>
              </w:rPr>
            </w:pPr>
          </w:p>
        </w:tc>
      </w:tr>
    </w:tbl>
    <w:p>
      <w:pPr>
        <w:widowControl/>
        <w:spacing w:before="190" w:beforeLines="50"/>
        <w:ind w:firstLine="560"/>
        <w:outlineLvl w:val="1"/>
        <w:rPr>
          <w:rFonts w:ascii="楷体_GB2312" w:hAnsi="楷体_GB2312" w:eastAsia="楷体_GB2312" w:cs="楷体_GB2312"/>
          <w:szCs w:val="28"/>
        </w:rPr>
      </w:pPr>
      <w:r>
        <w:rPr>
          <w:rFonts w:hint="eastAsia" w:ascii="楷体_GB2312" w:hAnsi="楷体_GB2312" w:eastAsia="楷体_GB2312" w:cs="楷体_GB2312"/>
          <w:szCs w:val="28"/>
        </w:rPr>
        <w:t>（四）项目绩效目标</w:t>
      </w:r>
    </w:p>
    <w:p>
      <w:pPr>
        <w:pStyle w:val="7"/>
        <w:ind w:firstLine="560"/>
      </w:pPr>
      <w:r>
        <w:rPr>
          <w:rFonts w:hint="eastAsia"/>
        </w:rPr>
        <w:t>1.总体目标</w:t>
      </w:r>
    </w:p>
    <w:p>
      <w:pPr>
        <w:ind w:firstLine="560"/>
      </w:pPr>
      <w:r>
        <w:rPr>
          <w:rFonts w:hint="eastAsia"/>
        </w:rPr>
        <w:t>利用省级财政支农资金，扶持建设农产品产后处理及初加工装备技术示范项目，推广新型、先进、高效、节能的农产品产后初加工装备，引导淘汰落后装备，提高农作物初级产品的生产能力，带动社会投资，提高加工收益，改进加工工艺性能，降低污染物排放，提供就业岗位，带动扩大农作物种植面积。</w:t>
      </w:r>
    </w:p>
    <w:p>
      <w:pPr>
        <w:pStyle w:val="7"/>
        <w:ind w:firstLine="560"/>
      </w:pPr>
      <w:r>
        <w:rPr>
          <w:rFonts w:hint="eastAsia"/>
        </w:rPr>
        <w:t>2.具体目标</w:t>
      </w:r>
    </w:p>
    <w:p>
      <w:pPr>
        <w:ind w:firstLine="560"/>
      </w:pPr>
      <w:r>
        <w:rPr>
          <w:rFonts w:hint="eastAsia"/>
        </w:rPr>
        <w:t>（1）产出目标：新建粮食加工示范点一个，位于宁武县迭台寺乡西沟村，实施单位为宁武县田野种养殖专业合作社。</w:t>
      </w:r>
    </w:p>
    <w:p>
      <w:pPr>
        <w:ind w:firstLine="560"/>
      </w:pPr>
      <w:r>
        <w:rPr>
          <w:rFonts w:hint="eastAsia"/>
        </w:rPr>
        <w:t>新建果蔬烘干处理示范点一个，位于宁武县余庄乡窑沟村，实施单位为宁武县丹香园种养殖专业合作社。</w:t>
      </w:r>
    </w:p>
    <w:p>
      <w:pPr>
        <w:ind w:firstLine="560"/>
      </w:pPr>
      <w:r>
        <w:rPr>
          <w:rFonts w:hint="eastAsia"/>
        </w:rPr>
        <w:t>每个示范点投入补贴资金8万元用于购置现代农机具，不足部分实施单位自筹。</w:t>
      </w:r>
    </w:p>
    <w:p>
      <w:pPr>
        <w:ind w:firstLine="560"/>
      </w:pPr>
      <w:r>
        <w:rPr>
          <w:rFonts w:hint="eastAsia"/>
        </w:rPr>
        <w:t>（2）经济效益目标：带动两个合作社提高生产效率，扩大生产规模，增加生产总产值，每个合作社实现年利税10万元以上。</w:t>
      </w:r>
    </w:p>
    <w:p>
      <w:pPr>
        <w:ind w:firstLine="560"/>
      </w:pPr>
      <w:r>
        <w:rPr>
          <w:rFonts w:hint="eastAsia"/>
        </w:rPr>
        <w:t>（3）社会效益目标：带动贫困户就业，每个合作社解决10人以上就业问题，增加贫困户务工收入，实现就业增收。</w:t>
      </w:r>
    </w:p>
    <w:p>
      <w:pPr>
        <w:ind w:firstLine="560"/>
      </w:pPr>
      <w:r>
        <w:rPr>
          <w:rFonts w:hint="eastAsia"/>
        </w:rPr>
        <w:t>（4）可持续影响目标：引进先进设备，扩大合作社生产规模，提高合作社生产效率，推广科学先进的农业处理加工技术。</w:t>
      </w:r>
    </w:p>
    <w:p>
      <w:pPr>
        <w:pStyle w:val="4"/>
        <w:ind w:firstLine="560"/>
      </w:pPr>
      <w:r>
        <w:rPr>
          <w:rFonts w:hint="eastAsia"/>
        </w:rPr>
        <w:t>二、绩效评价工作开展情况</w:t>
      </w:r>
    </w:p>
    <w:p>
      <w:pPr>
        <w:pStyle w:val="6"/>
        <w:ind w:firstLine="560"/>
      </w:pPr>
      <w:r>
        <w:rPr>
          <w:rFonts w:hint="eastAsia"/>
        </w:rPr>
        <w:t>（一）评价目的</w:t>
      </w:r>
    </w:p>
    <w:p>
      <w:pPr>
        <w:ind w:firstLine="560"/>
      </w:pPr>
      <w:r>
        <w:rPr>
          <w:rFonts w:hint="eastAsia"/>
        </w:rPr>
        <w:t>通过预算绩效评价，及时发现问题，总结经验，提出改进意见。一是为政府相关决策及下一年度预算安排提供可行性参考建议。为财政部门加强财政支出管理，强化支出责任，科学配置资源，提高财政资金的使用效益；二是为主管单位掌握项目动态、优化项目信息反馈机制、加强项目监管，进一步修改完善宁武县农业机械化服务中心统筹整合财政资金项目提供参考。</w:t>
      </w:r>
    </w:p>
    <w:p>
      <w:pPr>
        <w:pStyle w:val="6"/>
        <w:ind w:firstLine="560"/>
      </w:pPr>
      <w:r>
        <w:rPr>
          <w:rFonts w:hint="eastAsia"/>
        </w:rPr>
        <w:t>（二）评价对象和范围</w:t>
      </w:r>
    </w:p>
    <w:p>
      <w:pPr>
        <w:ind w:firstLine="560"/>
      </w:pPr>
      <w:r>
        <w:rPr>
          <w:rFonts w:hint="eastAsia"/>
        </w:rPr>
        <w:t>本次绩效评价的对象是宁武县农业机械服务中心项目16万元，用于2020年农产品产后处理及初加工装备技术（现代农机推广）项目，对项目实施情况、产出效益、资金使用及监督管理进行综合评价，总结经验、找出问题并提出相关建议。</w:t>
      </w:r>
    </w:p>
    <w:p>
      <w:pPr>
        <w:ind w:firstLine="560"/>
      </w:pPr>
      <w:r>
        <w:rPr>
          <w:rFonts w:hint="eastAsia"/>
        </w:rPr>
        <w:t>绩效评价范围为宁武县农业机械服务中心2020年统筹整合财政资金产生的绩效以及为产生绩效所经历的各环节过程，具体绩效评价范围包括项目决策、过程、产出、效益。</w:t>
      </w:r>
    </w:p>
    <w:p>
      <w:pPr>
        <w:pStyle w:val="6"/>
        <w:ind w:firstLine="560"/>
      </w:pPr>
      <w:r>
        <w:rPr>
          <w:rFonts w:hint="eastAsia"/>
        </w:rPr>
        <w:t>（三）评价基准日</w:t>
      </w:r>
    </w:p>
    <w:p>
      <w:pPr>
        <w:ind w:firstLine="560"/>
      </w:pPr>
      <w:r>
        <w:rPr>
          <w:rFonts w:hint="eastAsia"/>
        </w:rPr>
        <w:t>本次绩效评价基准日是2020年12月31日。</w:t>
      </w:r>
    </w:p>
    <w:p>
      <w:pPr>
        <w:widowControl/>
        <w:ind w:firstLine="560"/>
        <w:outlineLvl w:val="1"/>
        <w:rPr>
          <w:rFonts w:ascii="楷体_GB2312" w:hAnsi="楷体_GB2312" w:eastAsia="楷体_GB2312" w:cs="楷体_GB2312"/>
          <w:szCs w:val="28"/>
        </w:rPr>
      </w:pPr>
      <w:r>
        <w:rPr>
          <w:rFonts w:hint="eastAsia" w:ascii="楷体_GB2312" w:hAnsi="楷体_GB2312" w:eastAsia="楷体_GB2312" w:cs="楷体_GB2312"/>
          <w:szCs w:val="28"/>
        </w:rPr>
        <w:t>（四）绩效评价指标体系</w:t>
      </w:r>
    </w:p>
    <w:p>
      <w:pPr>
        <w:pStyle w:val="7"/>
        <w:ind w:firstLine="560"/>
      </w:pPr>
      <w:r>
        <w:rPr>
          <w:rFonts w:hint="eastAsia"/>
        </w:rPr>
        <w:t>1.指标体系设计思路</w:t>
      </w:r>
    </w:p>
    <w:p>
      <w:pPr>
        <w:ind w:firstLine="560"/>
      </w:pPr>
      <w:r>
        <w:rPr>
          <w:rFonts w:hint="eastAsia"/>
        </w:rPr>
        <w:t>按照财政部《项目支出绩效评价管理办法》（财预〔2020〕10号）中的项目支出绩效评价指标体系框架（参考）、山西省《省级项目支出绩效评价管理办法》（晋财绩〔2020〕17号）中的项目支出绩效评价指标体系框架（参考），遵循“突出项目资金、兼顾政策内容”的评价思路，结合宁武县农业机械化服务中心的实际情况，本着全面反映宁武县农业机械化服务中心2020年财政统筹整合财政资金扶贫项目的预算绩效管理情况，本着尽可能细化、量化、可操作的原则，结合计划标准、历史标准等制定指标的目标值，兼顾相关政策内容，设计形成了宁武县农业机械化服务中心2020年财政统筹整合财政资金绩效评价指标体系，从决策类（包括项目立项、绩效目标、资金投入）、过程类（包括资金管理、组织实施）、产出类（包括产出数量、产出质量、产出时效）、效益类（包括经济效益、社会效益、可持续影响）四个维度进行评价。</w:t>
      </w:r>
    </w:p>
    <w:p>
      <w:pPr>
        <w:pStyle w:val="7"/>
        <w:ind w:firstLine="560"/>
        <w:rPr>
          <w:lang w:val="zh-CN"/>
        </w:rPr>
      </w:pPr>
      <w:r>
        <w:rPr>
          <w:rFonts w:hint="eastAsia"/>
        </w:rPr>
        <w:t>2</w:t>
      </w:r>
      <w:r>
        <w:rPr>
          <w:rFonts w:hint="eastAsia"/>
          <w:lang w:val="zh-CN"/>
        </w:rPr>
        <w:t>.权重设计思路</w:t>
      </w:r>
    </w:p>
    <w:p>
      <w:pPr>
        <w:ind w:firstLine="560"/>
      </w:pPr>
      <w:r>
        <w:rPr>
          <w:rFonts w:hint="eastAsia"/>
          <w:lang w:val="zh-CN"/>
        </w:rPr>
        <w:t>本次</w:t>
      </w:r>
      <w:r>
        <w:rPr>
          <w:rFonts w:hint="eastAsia"/>
        </w:rPr>
        <w:t>绩效评价指标</w:t>
      </w:r>
      <w:r>
        <w:rPr>
          <w:rFonts w:hint="eastAsia"/>
          <w:lang w:val="zh-CN"/>
        </w:rPr>
        <w:t>权重设计</w:t>
      </w:r>
      <w:r>
        <w:rPr>
          <w:rFonts w:hint="eastAsia"/>
        </w:rPr>
        <w:t>一级指标</w:t>
      </w:r>
      <w:r>
        <w:rPr>
          <w:rFonts w:hint="eastAsia"/>
          <w:lang w:val="zh-CN"/>
        </w:rPr>
        <w:t>权重设计</w:t>
      </w:r>
      <w:r>
        <w:rPr>
          <w:rFonts w:hint="eastAsia"/>
        </w:rPr>
        <w:t>按照《项目支出绩效评价管理办法》（财预〔2020〕10号）中的项目支出绩效评价指标体系框架（参考）、山西省《省级项目支出绩效评价管理办法》（晋财绩〔2020〕17号）文件要求执行</w:t>
      </w:r>
      <w:r>
        <w:rPr>
          <w:rFonts w:hint="eastAsia"/>
          <w:lang w:val="zh-CN"/>
        </w:rPr>
        <w:t>，最终确定</w:t>
      </w:r>
      <w:r>
        <w:rPr>
          <w:rFonts w:hint="eastAsia"/>
        </w:rPr>
        <w:t>决策</w:t>
      </w:r>
      <w:r>
        <w:rPr>
          <w:rFonts w:hint="eastAsia"/>
          <w:lang w:val="zh-CN"/>
        </w:rPr>
        <w:t>类指标权重占比</w:t>
      </w:r>
      <w:r>
        <w:rPr>
          <w:rFonts w:hint="eastAsia"/>
        </w:rPr>
        <w:t>2</w:t>
      </w:r>
      <w:r>
        <w:rPr>
          <w:rFonts w:hint="eastAsia"/>
          <w:lang w:val="zh-CN"/>
        </w:rPr>
        <w:t>0%，过程类指标权重占比</w:t>
      </w:r>
      <w:r>
        <w:rPr>
          <w:rFonts w:hint="eastAsia"/>
        </w:rPr>
        <w:t>2</w:t>
      </w:r>
      <w:r>
        <w:rPr>
          <w:rFonts w:hint="eastAsia"/>
          <w:lang w:val="zh-CN"/>
        </w:rPr>
        <w:t>0%，产出类指标权重占比</w:t>
      </w:r>
      <w:r>
        <w:rPr>
          <w:rFonts w:hint="eastAsia"/>
        </w:rPr>
        <w:t>3</w:t>
      </w:r>
      <w:r>
        <w:rPr>
          <w:rFonts w:hint="eastAsia"/>
          <w:lang w:val="zh-CN"/>
        </w:rPr>
        <w:t>0%，效益类指标权重占比</w:t>
      </w:r>
      <w:r>
        <w:rPr>
          <w:rFonts w:hint="eastAsia"/>
        </w:rPr>
        <w:t>3</w:t>
      </w:r>
      <w:r>
        <w:rPr>
          <w:rFonts w:hint="eastAsia"/>
          <w:lang w:val="zh-CN"/>
        </w:rPr>
        <w:t>0%。二、三级指标</w:t>
      </w:r>
      <w:r>
        <w:rPr>
          <w:rFonts w:hint="eastAsia"/>
        </w:rPr>
        <w:t>权重分值</w:t>
      </w:r>
      <w:r>
        <w:rPr>
          <w:rFonts w:hint="eastAsia"/>
          <w:lang w:val="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pStyle w:val="7"/>
        <w:ind w:firstLine="560"/>
      </w:pPr>
      <w:r>
        <w:rPr>
          <w:rFonts w:hint="eastAsia"/>
        </w:rPr>
        <w:t>3.指标体系具体内容</w:t>
      </w:r>
    </w:p>
    <w:p>
      <w:pPr>
        <w:ind w:firstLine="560"/>
      </w:pPr>
      <w:r>
        <w:t>指标体系由</w:t>
      </w:r>
      <w:r>
        <w:rPr>
          <w:rFonts w:hint="eastAsia"/>
        </w:rPr>
        <w:t>4</w:t>
      </w:r>
      <w:r>
        <w:t>项一级指标、</w:t>
      </w:r>
      <w:r>
        <w:rPr>
          <w:rFonts w:hint="eastAsia"/>
        </w:rPr>
        <w:t>11</w:t>
      </w:r>
      <w:r>
        <w:t>项二级指标、</w:t>
      </w:r>
      <w:r>
        <w:rPr>
          <w:rFonts w:hint="eastAsia"/>
        </w:rPr>
        <w:t>23</w:t>
      </w:r>
      <w:r>
        <w:t>项三级指标构成。数据主要来源于政策文件、</w:t>
      </w:r>
      <w:r>
        <w:rPr>
          <w:rFonts w:hint="eastAsia"/>
        </w:rPr>
        <w:t>财经</w:t>
      </w:r>
      <w:r>
        <w:t>法规、</w:t>
      </w:r>
      <w:r>
        <w:rPr>
          <w:rFonts w:hint="eastAsia"/>
        </w:rPr>
        <w:t>单位提供相关资料</w:t>
      </w:r>
      <w:r>
        <w:t>、访谈等。</w:t>
      </w:r>
      <w:r>
        <w:rPr>
          <w:rFonts w:hint="eastAsia"/>
        </w:rPr>
        <w:t>决策类指标占权重分20分，</w:t>
      </w:r>
      <w:r>
        <w:t>从</w:t>
      </w:r>
      <w:r>
        <w:rPr>
          <w:rFonts w:hint="eastAsia"/>
        </w:rPr>
        <w:t>项目立项、绩效目标及资金投入三</w:t>
      </w:r>
      <w:r>
        <w:t>个角度考察</w:t>
      </w:r>
      <w:r>
        <w:rPr>
          <w:rFonts w:hint="eastAsia"/>
        </w:rPr>
        <w:t>立项依据充分性、立项程序规范性、绩效目标合理性、绩效目标明确性、预算编制科学性及资金分配合理性；过程类指标占权重分20分，从组织实施、资金管理两</w:t>
      </w:r>
      <w:r>
        <w:t>个角度考察</w:t>
      </w:r>
      <w:r>
        <w:rPr>
          <w:rFonts w:hint="eastAsia"/>
        </w:rPr>
        <w:t>管理制度健全性、制度执行有效性、建设方案完备性、信息公开和资金到位率、资金使用合规性等；产出类指标占权重分30分，从</w:t>
      </w:r>
      <w:r>
        <w:t>资金投入使用后的</w:t>
      </w:r>
      <w:r>
        <w:rPr>
          <w:rFonts w:hint="eastAsia"/>
        </w:rPr>
        <w:t>产出数量、产出质量、产出时效三个角度来考察项目产出情况；效益类指标占权重分30分，从经济效益、社会效益、可持续影响三个方面来考察项目</w:t>
      </w:r>
      <w:bookmarkStart w:id="24" w:name="_GoBack"/>
      <w:bookmarkEnd w:id="24"/>
      <w:r>
        <w:rPr>
          <w:rFonts w:hint="eastAsia"/>
        </w:rPr>
        <w:t>效益情况。</w:t>
      </w:r>
    </w:p>
    <w:p>
      <w:pPr>
        <w:pStyle w:val="6"/>
        <w:keepNext/>
        <w:keepLines/>
        <w:pageBreakBefore w:val="0"/>
        <w:widowControl w:val="0"/>
        <w:kinsoku/>
        <w:wordWrap/>
        <w:overflowPunct/>
        <w:topLinePunct w:val="0"/>
        <w:autoSpaceDE/>
        <w:autoSpaceDN/>
        <w:bidi w:val="0"/>
        <w:adjustRightInd/>
        <w:snapToGrid/>
        <w:ind w:firstLine="560"/>
        <w:textAlignment w:val="auto"/>
      </w:pPr>
      <w:bookmarkStart w:id="10" w:name="_Toc24317"/>
      <w:bookmarkStart w:id="11" w:name="_Toc27789"/>
      <w:r>
        <w:rPr>
          <w:rFonts w:hint="eastAsia"/>
        </w:rPr>
        <w:t>（五）绩效评价工作过程</w:t>
      </w:r>
      <w:bookmarkEnd w:id="10"/>
      <w:bookmarkEnd w:id="11"/>
    </w:p>
    <w:p>
      <w:pPr>
        <w:ind w:firstLine="560"/>
      </w:pPr>
      <w:r>
        <w:rPr>
          <w:rFonts w:hint="eastAsia"/>
        </w:rPr>
        <w:t>接受宁武县财政局</w:t>
      </w:r>
      <w:r>
        <w:t>的委托</w:t>
      </w:r>
      <w:r>
        <w:rPr>
          <w:rFonts w:hint="eastAsia"/>
        </w:rPr>
        <w:t>后</w:t>
      </w:r>
      <w:r>
        <w:t>，我公司高度重视，积极筹备，成立项目领导组负责评价过程的协调和督导。</w:t>
      </w:r>
      <w:r>
        <w:rPr>
          <w:rFonts w:hint="eastAsia"/>
        </w:rPr>
        <w:t>具体</w:t>
      </w:r>
      <w:r>
        <w:t>工作分为</w:t>
      </w:r>
      <w:r>
        <w:rPr>
          <w:rFonts w:hint="eastAsia"/>
        </w:rPr>
        <w:t>前期</w:t>
      </w:r>
      <w:r>
        <w:t>准备、</w:t>
      </w:r>
      <w:r>
        <w:rPr>
          <w:rFonts w:hint="eastAsia"/>
        </w:rPr>
        <w:t>现场</w:t>
      </w:r>
      <w:r>
        <w:t>实施、报告撰写三个阶段。</w:t>
      </w:r>
    </w:p>
    <w:p>
      <w:pPr>
        <w:pStyle w:val="7"/>
        <w:ind w:firstLine="560"/>
      </w:pPr>
      <w:r>
        <w:t>1.评价准备阶段</w:t>
      </w:r>
    </w:p>
    <w:p>
      <w:pPr>
        <w:ind w:firstLine="560"/>
      </w:pPr>
      <w:r>
        <w:t>根据山西省《省级项目支出绩效评价管理办法》（晋财绩〔2020〕17号）文件精神总体要求，明确评价目的和工作思路，联系</w:t>
      </w:r>
      <w:r>
        <w:rPr>
          <w:rFonts w:hint="eastAsia"/>
        </w:rPr>
        <w:t>宁武县农业机械化服务中心</w:t>
      </w:r>
      <w:r>
        <w:t>开展调研，收集相关政策文件和信息资料，编制绩效评价指标体系、评分标准和评价等级。</w:t>
      </w:r>
    </w:p>
    <w:p>
      <w:pPr>
        <w:pStyle w:val="7"/>
        <w:ind w:firstLine="560"/>
      </w:pPr>
      <w:r>
        <w:t>2.组织实施阶段</w:t>
      </w:r>
    </w:p>
    <w:p>
      <w:pPr>
        <w:ind w:firstLine="560"/>
      </w:pPr>
      <w:r>
        <w:t>（1）</w:t>
      </w:r>
      <w:r>
        <w:rPr>
          <w:rFonts w:hint="eastAsia"/>
        </w:rPr>
        <w:t>围绕评价指标补充</w:t>
      </w:r>
      <w:r>
        <w:t>收集</w:t>
      </w:r>
      <w:r>
        <w:rPr>
          <w:rFonts w:hint="eastAsia"/>
        </w:rPr>
        <w:t>相关</w:t>
      </w:r>
      <w:r>
        <w:t>资料</w:t>
      </w:r>
      <w:r>
        <w:rPr>
          <w:rFonts w:hint="eastAsia"/>
        </w:rPr>
        <w:t>；</w:t>
      </w:r>
    </w:p>
    <w:p>
      <w:pPr>
        <w:ind w:firstLine="560"/>
      </w:pPr>
      <w:r>
        <w:t>（2）现场勘查。根据评价对象的特点和项目单位提供的数据资料，现场勘查项目建设情况及运营情况。</w:t>
      </w:r>
    </w:p>
    <w:p>
      <w:pPr>
        <w:ind w:firstLine="560"/>
      </w:pPr>
      <w:r>
        <w:rPr>
          <w:rFonts w:hint="eastAsia"/>
        </w:rPr>
        <w:t>（3）满意度调查。向项目受益群体发放一定数量的满意度调查问卷，汇总受益群体对项目的意见及建议，形成满意度调查问卷分析。</w:t>
      </w:r>
    </w:p>
    <w:p>
      <w:pPr>
        <w:ind w:firstLine="560"/>
      </w:pPr>
      <w:r>
        <w:t>（</w:t>
      </w:r>
      <w:r>
        <w:rPr>
          <w:rFonts w:hint="eastAsia"/>
        </w:rPr>
        <w:t>4</w:t>
      </w:r>
      <w:r>
        <w:t>）综合评价。根据评价工作方案确定的评价指标、评价权重、评价标准和评价方法，对评价对象的情况进行全面的定量定性分析和综合评价。</w:t>
      </w:r>
    </w:p>
    <w:p>
      <w:pPr>
        <w:pStyle w:val="7"/>
        <w:ind w:firstLine="560"/>
      </w:pPr>
      <w:r>
        <w:t>3.报告撰写阶段</w:t>
      </w:r>
    </w:p>
    <w:p>
      <w:pPr>
        <w:ind w:firstLine="560"/>
      </w:pPr>
      <w:r>
        <w:t>绩效评价组根据被评价单位的绩效情况，按要求撰写评价报告，并根据专家意见进一步完善、修改绩效评价报告，形成</w:t>
      </w:r>
      <w:r>
        <w:rPr>
          <w:rFonts w:hint="eastAsia"/>
        </w:rPr>
        <w:t>报告提交报送委托评价单位。</w:t>
      </w:r>
    </w:p>
    <w:p>
      <w:pPr>
        <w:pStyle w:val="4"/>
        <w:ind w:firstLine="560"/>
      </w:pPr>
      <w:r>
        <w:rPr>
          <w:rFonts w:hint="eastAsia"/>
        </w:rPr>
        <w:t>三、综合评价情况及评价结论</w:t>
      </w:r>
    </w:p>
    <w:p>
      <w:pPr>
        <w:pStyle w:val="6"/>
        <w:ind w:firstLine="560"/>
      </w:pPr>
      <w:r>
        <w:rPr>
          <w:rFonts w:hint="eastAsia"/>
        </w:rPr>
        <w:t>（一）综合评价情况</w:t>
      </w:r>
    </w:p>
    <w:p>
      <w:pPr>
        <w:ind w:firstLine="560"/>
      </w:pPr>
      <w:r>
        <w:rPr>
          <w:rFonts w:hint="eastAsia"/>
        </w:rPr>
        <w:t>项目组通过数据采集、调研访谈等方式，对宁武县农业机械服务中心2020年现代农机推广项目进行了客观评价，最终评分结果是：项目综合评价得分65分，评价等级为“中”，总体评分情况详见表3-1。</w:t>
      </w:r>
    </w:p>
    <w:p>
      <w:pPr>
        <w:ind w:firstLine="0" w:firstLineChars="0"/>
        <w:jc w:val="center"/>
        <w:outlineLvl w:val="3"/>
        <w:rPr>
          <w:rFonts w:ascii="宋体" w:eastAsia="宋体" w:hAnsiTheme="majorHAnsi" w:cstheme="majorBidi"/>
          <w:bCs/>
          <w:szCs w:val="28"/>
        </w:rPr>
      </w:pPr>
      <w:r>
        <w:rPr>
          <w:rFonts w:hint="eastAsia" w:ascii="宋体" w:eastAsia="宋体" w:hAnsiTheme="majorHAnsi" w:cstheme="majorBidi"/>
          <w:bCs/>
          <w:szCs w:val="28"/>
        </w:rPr>
        <w:t xml:space="preserve">表3-1 </w:t>
      </w:r>
      <w:r>
        <w:rPr>
          <w:rFonts w:hint="eastAsia" w:ascii="宋体" w:hAnsi="宋体" w:eastAsia="宋体" w:cstheme="majorBidi"/>
          <w:bCs/>
          <w:szCs w:val="28"/>
        </w:rPr>
        <w:t>项目总体绩效评价评分表</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130" w:type="dxa"/>
            <w:tcBorders>
              <w:top w:val="double" w:color="auto" w:sz="4" w:space="0"/>
              <w:left w:val="nil"/>
              <w:bottom w:val="dotted" w:color="auto" w:sz="4" w:space="0"/>
              <w:right w:val="dotted" w:color="auto" w:sz="4" w:space="0"/>
            </w:tcBorders>
            <w:shd w:val="clear" w:color="auto" w:fill="BEBEBE" w:themeFill="background1" w:themeFillShade="BF"/>
            <w:vAlign w:val="center"/>
          </w:tcPr>
          <w:p>
            <w:pPr>
              <w:widowControl/>
              <w:spacing w:line="240" w:lineRule="auto"/>
              <w:ind w:firstLine="0" w:firstLineChars="0"/>
              <w:jc w:val="center"/>
              <w:rPr>
                <w:rFonts w:ascii="宋体" w:hAnsi="宋体" w:eastAsia="宋体" w:cs="宋体"/>
                <w:b/>
                <w:bCs/>
                <w:sz w:val="24"/>
              </w:rPr>
            </w:pPr>
            <w:r>
              <w:rPr>
                <w:rFonts w:hint="eastAsia" w:ascii="宋体" w:hAnsi="宋体" w:eastAsia="宋体" w:cs="宋体"/>
                <w:b/>
                <w:bCs/>
                <w:sz w:val="24"/>
              </w:rPr>
              <w:t>一级指标</w:t>
            </w:r>
          </w:p>
        </w:tc>
        <w:tc>
          <w:tcPr>
            <w:tcW w:w="2130" w:type="dxa"/>
            <w:tcBorders>
              <w:top w:val="double" w:color="auto" w:sz="4" w:space="0"/>
              <w:left w:val="dotted" w:color="auto" w:sz="4" w:space="0"/>
              <w:bottom w:val="dotted" w:color="auto" w:sz="4" w:space="0"/>
              <w:right w:val="dotted" w:color="auto" w:sz="4" w:space="0"/>
            </w:tcBorders>
            <w:shd w:val="clear" w:color="auto" w:fill="BEBEBE" w:themeFill="background1" w:themeFillShade="BF"/>
            <w:vAlign w:val="center"/>
          </w:tcPr>
          <w:p>
            <w:pPr>
              <w:widowControl/>
              <w:spacing w:line="240" w:lineRule="auto"/>
              <w:ind w:firstLine="0" w:firstLineChars="0"/>
              <w:jc w:val="center"/>
              <w:rPr>
                <w:rFonts w:ascii="宋体" w:hAnsi="宋体" w:eastAsia="宋体" w:cs="宋体"/>
                <w:b/>
                <w:bCs/>
                <w:sz w:val="24"/>
              </w:rPr>
            </w:pPr>
            <w:r>
              <w:rPr>
                <w:rFonts w:hint="eastAsia" w:ascii="宋体" w:hAnsi="宋体" w:eastAsia="宋体" w:cs="宋体"/>
                <w:b/>
                <w:bCs/>
                <w:sz w:val="24"/>
              </w:rPr>
              <w:t>权重</w:t>
            </w:r>
          </w:p>
        </w:tc>
        <w:tc>
          <w:tcPr>
            <w:tcW w:w="2131" w:type="dxa"/>
            <w:tcBorders>
              <w:top w:val="double" w:color="auto" w:sz="4" w:space="0"/>
              <w:left w:val="dotted" w:color="auto" w:sz="4" w:space="0"/>
              <w:bottom w:val="dotted" w:color="auto" w:sz="4" w:space="0"/>
              <w:right w:val="dotted" w:color="auto" w:sz="4" w:space="0"/>
            </w:tcBorders>
            <w:shd w:val="clear" w:color="auto" w:fill="BEBEBE" w:themeFill="background1" w:themeFillShade="BF"/>
            <w:vAlign w:val="center"/>
          </w:tcPr>
          <w:p>
            <w:pPr>
              <w:widowControl/>
              <w:spacing w:line="240" w:lineRule="auto"/>
              <w:ind w:firstLine="0" w:firstLineChars="0"/>
              <w:jc w:val="center"/>
              <w:rPr>
                <w:rFonts w:ascii="宋体" w:hAnsi="宋体" w:eastAsia="宋体" w:cs="宋体"/>
                <w:b/>
                <w:bCs/>
                <w:sz w:val="24"/>
              </w:rPr>
            </w:pPr>
            <w:r>
              <w:rPr>
                <w:rFonts w:hint="eastAsia" w:ascii="宋体" w:hAnsi="宋体" w:eastAsia="宋体" w:cs="宋体"/>
                <w:b/>
                <w:bCs/>
                <w:sz w:val="24"/>
              </w:rPr>
              <w:t>得分</w:t>
            </w:r>
          </w:p>
        </w:tc>
        <w:tc>
          <w:tcPr>
            <w:tcW w:w="2131" w:type="dxa"/>
            <w:tcBorders>
              <w:top w:val="double" w:color="auto" w:sz="4" w:space="0"/>
              <w:left w:val="dotted" w:color="auto" w:sz="4" w:space="0"/>
              <w:bottom w:val="dotted" w:color="auto" w:sz="4" w:space="0"/>
              <w:right w:val="nil"/>
            </w:tcBorders>
            <w:shd w:val="clear" w:color="auto" w:fill="BEBEBE" w:themeFill="background1" w:themeFillShade="BF"/>
            <w:vAlign w:val="center"/>
          </w:tcPr>
          <w:p>
            <w:pPr>
              <w:widowControl/>
              <w:spacing w:line="240" w:lineRule="auto"/>
              <w:ind w:firstLine="0" w:firstLineChars="0"/>
              <w:jc w:val="center"/>
              <w:rPr>
                <w:rFonts w:ascii="宋体" w:hAnsi="宋体" w:eastAsia="宋体" w:cs="宋体"/>
                <w:b/>
                <w:bCs/>
                <w:sz w:val="24"/>
              </w:rPr>
            </w:pPr>
            <w:r>
              <w:rPr>
                <w:rFonts w:hint="eastAsia" w:ascii="宋体" w:hAnsi="宋体" w:eastAsia="宋体" w:cs="宋体"/>
                <w:b/>
                <w:bCs/>
                <w:sz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30" w:type="dxa"/>
            <w:tcBorders>
              <w:top w:val="dotted" w:color="auto" w:sz="4" w:space="0"/>
              <w:left w:val="nil"/>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A决策</w:t>
            </w:r>
          </w:p>
        </w:tc>
        <w:tc>
          <w:tcPr>
            <w:tcW w:w="2130"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20</w:t>
            </w:r>
          </w:p>
        </w:tc>
        <w:tc>
          <w:tcPr>
            <w:tcW w:w="2131"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17</w:t>
            </w:r>
          </w:p>
        </w:tc>
        <w:tc>
          <w:tcPr>
            <w:tcW w:w="2131" w:type="dxa"/>
            <w:tcBorders>
              <w:top w:val="dotted" w:color="auto" w:sz="4" w:space="0"/>
              <w:left w:val="dotted" w:color="auto" w:sz="4" w:space="0"/>
              <w:bottom w:val="dotted" w:color="auto" w:sz="4" w:space="0"/>
              <w:right w:val="nil"/>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30" w:type="dxa"/>
            <w:tcBorders>
              <w:top w:val="dotted" w:color="auto" w:sz="4" w:space="0"/>
              <w:left w:val="nil"/>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B过程</w:t>
            </w:r>
          </w:p>
        </w:tc>
        <w:tc>
          <w:tcPr>
            <w:tcW w:w="2130"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20</w:t>
            </w:r>
          </w:p>
        </w:tc>
        <w:tc>
          <w:tcPr>
            <w:tcW w:w="2131"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highlight w:val="yellow"/>
              </w:rPr>
            </w:pPr>
            <w:r>
              <w:rPr>
                <w:rFonts w:hint="eastAsia" w:ascii="宋体" w:hAnsi="宋体" w:eastAsia="宋体" w:cs="宋体"/>
                <w:sz w:val="24"/>
              </w:rPr>
              <w:t>17</w:t>
            </w:r>
          </w:p>
        </w:tc>
        <w:tc>
          <w:tcPr>
            <w:tcW w:w="2131" w:type="dxa"/>
            <w:tcBorders>
              <w:top w:val="dotted" w:color="auto" w:sz="4" w:space="0"/>
              <w:left w:val="dotted" w:color="auto" w:sz="4" w:space="0"/>
              <w:bottom w:val="dotted" w:color="auto" w:sz="4" w:space="0"/>
              <w:right w:val="nil"/>
            </w:tcBorders>
            <w:vAlign w:val="center"/>
          </w:tcPr>
          <w:p>
            <w:pPr>
              <w:widowControl/>
              <w:spacing w:line="240" w:lineRule="auto"/>
              <w:ind w:firstLine="0" w:firstLineChars="0"/>
              <w:jc w:val="center"/>
              <w:rPr>
                <w:rFonts w:ascii="宋体" w:hAnsi="宋体" w:eastAsia="宋体" w:cs="宋体"/>
                <w:sz w:val="24"/>
                <w:highlight w:val="yellow"/>
              </w:rPr>
            </w:pPr>
            <w:r>
              <w:rPr>
                <w:rFonts w:hint="eastAsia" w:ascii="宋体" w:hAnsi="宋体" w:eastAsia="宋体" w:cs="宋体"/>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30" w:type="dxa"/>
            <w:tcBorders>
              <w:top w:val="dotted" w:color="auto" w:sz="4" w:space="0"/>
              <w:left w:val="nil"/>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C产出</w:t>
            </w:r>
          </w:p>
        </w:tc>
        <w:tc>
          <w:tcPr>
            <w:tcW w:w="2130"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30</w:t>
            </w:r>
          </w:p>
        </w:tc>
        <w:tc>
          <w:tcPr>
            <w:tcW w:w="2131"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21</w:t>
            </w:r>
          </w:p>
        </w:tc>
        <w:tc>
          <w:tcPr>
            <w:tcW w:w="2131" w:type="dxa"/>
            <w:tcBorders>
              <w:top w:val="dotted" w:color="auto" w:sz="4" w:space="0"/>
              <w:left w:val="dotted" w:color="auto" w:sz="4" w:space="0"/>
              <w:bottom w:val="dotted" w:color="auto" w:sz="4" w:space="0"/>
              <w:right w:val="nil"/>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30" w:type="dxa"/>
            <w:tcBorders>
              <w:top w:val="dotted" w:color="auto" w:sz="4" w:space="0"/>
              <w:left w:val="nil"/>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D效益</w:t>
            </w:r>
          </w:p>
        </w:tc>
        <w:tc>
          <w:tcPr>
            <w:tcW w:w="2130"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30</w:t>
            </w:r>
          </w:p>
        </w:tc>
        <w:tc>
          <w:tcPr>
            <w:tcW w:w="2131" w:type="dxa"/>
            <w:tcBorders>
              <w:top w:val="dotted" w:color="auto" w:sz="4" w:space="0"/>
              <w:left w:val="dotted" w:color="auto" w:sz="4" w:space="0"/>
              <w:bottom w:val="dotted"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10</w:t>
            </w:r>
          </w:p>
        </w:tc>
        <w:tc>
          <w:tcPr>
            <w:tcW w:w="2131" w:type="dxa"/>
            <w:tcBorders>
              <w:top w:val="dotted" w:color="auto" w:sz="4" w:space="0"/>
              <w:left w:val="dotted" w:color="auto" w:sz="4" w:space="0"/>
              <w:bottom w:val="dotted" w:color="auto" w:sz="4" w:space="0"/>
              <w:right w:val="nil"/>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30" w:type="dxa"/>
            <w:tcBorders>
              <w:top w:val="dotted" w:color="auto" w:sz="4" w:space="0"/>
              <w:left w:val="nil"/>
              <w:bottom w:val="double"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合计</w:t>
            </w:r>
          </w:p>
        </w:tc>
        <w:tc>
          <w:tcPr>
            <w:tcW w:w="2130" w:type="dxa"/>
            <w:tcBorders>
              <w:top w:val="dotted" w:color="auto" w:sz="4" w:space="0"/>
              <w:left w:val="dotted" w:color="auto" w:sz="4" w:space="0"/>
              <w:bottom w:val="double"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 sum(B2:B5) \* MERGEFORMAT </w:instrText>
            </w:r>
            <w:r>
              <w:rPr>
                <w:rFonts w:hint="eastAsia" w:ascii="宋体" w:hAnsi="宋体" w:eastAsia="宋体" w:cs="宋体"/>
                <w:sz w:val="24"/>
              </w:rPr>
              <w:fldChar w:fldCharType="separate"/>
            </w:r>
            <w:r>
              <w:rPr>
                <w:rFonts w:hint="eastAsia" w:ascii="宋体" w:hAnsi="宋体" w:eastAsia="宋体" w:cs="宋体"/>
                <w:sz w:val="24"/>
              </w:rPr>
              <w:t>100</w:t>
            </w:r>
            <w:r>
              <w:rPr>
                <w:rFonts w:hint="eastAsia" w:ascii="宋体" w:hAnsi="宋体" w:eastAsia="宋体" w:cs="宋体"/>
                <w:sz w:val="24"/>
              </w:rPr>
              <w:fldChar w:fldCharType="end"/>
            </w:r>
          </w:p>
        </w:tc>
        <w:tc>
          <w:tcPr>
            <w:tcW w:w="2131" w:type="dxa"/>
            <w:tcBorders>
              <w:top w:val="dotted" w:color="auto" w:sz="4" w:space="0"/>
              <w:left w:val="dotted" w:color="auto" w:sz="4" w:space="0"/>
              <w:bottom w:val="double" w:color="auto" w:sz="4" w:space="0"/>
              <w:right w:val="dotted" w:color="auto" w:sz="4" w:space="0"/>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65</w:t>
            </w:r>
          </w:p>
        </w:tc>
        <w:tc>
          <w:tcPr>
            <w:tcW w:w="2131" w:type="dxa"/>
            <w:tcBorders>
              <w:top w:val="dotted" w:color="auto" w:sz="4" w:space="0"/>
              <w:left w:val="dotted" w:color="auto" w:sz="4" w:space="0"/>
              <w:bottom w:val="double" w:color="auto" w:sz="4" w:space="0"/>
              <w:right w:val="nil"/>
            </w:tcBorders>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sz w:val="24"/>
              </w:rPr>
              <w:t>65%</w:t>
            </w:r>
          </w:p>
        </w:tc>
      </w:tr>
    </w:tbl>
    <w:p>
      <w:pPr>
        <w:pStyle w:val="6"/>
        <w:spacing w:before="190" w:beforeLines="50"/>
        <w:ind w:firstLine="560"/>
      </w:pPr>
      <w:r>
        <w:rPr>
          <w:rFonts w:hint="eastAsia"/>
        </w:rPr>
        <w:t>（二）评价结论</w:t>
      </w:r>
    </w:p>
    <w:p>
      <w:pPr>
        <w:pStyle w:val="2"/>
        <w:widowControl/>
        <w:ind w:firstLine="560"/>
        <w:rPr>
          <w:lang w:val="en-US"/>
        </w:rPr>
      </w:pPr>
      <w:r>
        <w:rPr>
          <w:rFonts w:hint="eastAsia"/>
          <w:lang w:val="en-US"/>
        </w:rPr>
        <w:t>项目由山西省农业机械发展中心下达任务指标，在任务指标下达宁武县的同时，将山西省农业机械发展中心制定的项目实施方案也下达到宁武县。各申报单位填写项目建设任务书后提交县农业机械服务中心，经县农业机械服务中心统一审批上交市农机局审批，最后由市农机局统一交回省里，立项程序，实施程序均符合规定；项目实际实施过程中，各申报单位按既定方案填写“2020年度审计农业生产发展（现代农机推广）项目”建设任务书，对项目目标、实施规模、购置设备情况、项目资金筹措及使用计划、主要效益预测等内容作出详细说明，结合山西省农业机械发展中心与宁武县农业机械服务中心制定的实施方案按部就班，有序推进项目实施；项目主要建设内容为引进先进现代农机具，截止2020年12月31日，设备全部运达宁武县田野种养殖专业合作社与宁武县丹香园种养殖专业合作社，经安装调试后均可正常运转，且所运达农机具型号与计划一致；每个合作社补贴资金8万元，剩余由合作社自筹，项目实施未超预算；项目实际实施过程中，在机械设备到位后，立马安装调试，设备均达到正常运转状态。但在设备安装后，合作社由于各种原因导致设备使用率低，年底未按照规定向县农业机械服务中心汇报设备运行情况；由于项目实施较晚，补助资金下达合作社迟，导致验收工作滞后，且未按照方案进行公示；由于缺少市场，宁武县田野种养殖专业合作社设备利用率低；由于土地原因，宁武县丹香园种养殖专业合作社在设备调试完成后，长时间处于闲置状态。先进的农机具设备虽然可以提高合作社生产效率，增加贫困户工资性收入，但由于利用率低，导致项目产生的效益与预期不符。</w:t>
      </w:r>
    </w:p>
    <w:p>
      <w:pPr>
        <w:pStyle w:val="4"/>
        <w:ind w:firstLine="560"/>
      </w:pPr>
      <w:r>
        <w:rPr>
          <w:rFonts w:hint="eastAsia"/>
        </w:rPr>
        <w:t>四、存在的问题</w:t>
      </w:r>
    </w:p>
    <w:p>
      <w:pPr>
        <w:pStyle w:val="6"/>
        <w:ind w:firstLine="560"/>
      </w:pPr>
      <w:bookmarkStart w:id="12" w:name="_Toc28714"/>
      <w:bookmarkStart w:id="13" w:name="_Toc29524"/>
      <w:r>
        <w:rPr>
          <w:rFonts w:hint="eastAsia"/>
        </w:rPr>
        <w:t>（一）宁武县田野种养殖专业合作社农机具利用率低</w:t>
      </w:r>
      <w:bookmarkEnd w:id="12"/>
      <w:bookmarkEnd w:id="13"/>
    </w:p>
    <w:p>
      <w:pPr>
        <w:widowControl/>
        <w:ind w:firstLine="560"/>
        <w:rPr>
          <w:rFonts w:cs="仿宋_GB2312"/>
          <w:szCs w:val="28"/>
        </w:rPr>
      </w:pPr>
      <w:r>
        <w:rPr>
          <w:rFonts w:hint="eastAsia" w:cs="仿宋_GB2312"/>
          <w:szCs w:val="28"/>
        </w:rPr>
        <w:t>根据现场了解，宁武县田野种养殖专业合作社2019年与宁武县乡村味食品有限公司达成合作协议，由田野种养殖专业合作社为乡村味食品有限公司常年提供莜面和亚麻籽油等食品加工原料，合作社因设备陈旧无法满足供货要求急需引进现代农机具、扩大生产规模，因此宁武县田野种养殖专业合作社申请2020年现代农机推广项目资金8万元。合作社引进先进农机具设备后，与乡村味食品公司的合作关系破裂，食品公司不再收购合作社加工的食品原料，因此合作社生产出的莜面和亚麻籽油等食品原料失去固定销售市场。目前田野种养殖专业合作社在县城设立独立销售点，负责自主销售生产的莜面、豆面、麻油等，因在本地市场缺少竞争能力，销售业绩较差；加之当地种植莜面等原料规模较小，合作社从省内其他县或省外购买原料，运输加工成本高，业绩差，导致合作社目前处于亏损状态，根据对合作社经营人员了解，已有意向转让合作社，项目产出效益及可持续经营发展情况差。</w:t>
      </w:r>
    </w:p>
    <w:p>
      <w:pPr>
        <w:pStyle w:val="6"/>
        <w:ind w:firstLine="560"/>
      </w:pPr>
      <w:bookmarkStart w:id="14" w:name="_Toc26656"/>
      <w:bookmarkStart w:id="15" w:name="_Toc27261"/>
      <w:r>
        <w:rPr>
          <w:rFonts w:hint="eastAsia"/>
        </w:rPr>
        <w:t>（二）宁武县丹香园种养殖专业合作社设备闲置</w:t>
      </w:r>
      <w:bookmarkEnd w:id="14"/>
      <w:bookmarkEnd w:id="15"/>
    </w:p>
    <w:p>
      <w:pPr>
        <w:widowControl/>
        <w:ind w:firstLine="560"/>
        <w:rPr>
          <w:rFonts w:cs="仿宋_GB2312"/>
          <w:szCs w:val="28"/>
        </w:rPr>
      </w:pPr>
      <w:r>
        <w:rPr>
          <w:rFonts w:hint="eastAsia" w:cs="仿宋_GB2312"/>
          <w:szCs w:val="28"/>
        </w:rPr>
        <w:t>宁武县丹香园种养殖专业合作社位于宁武县余庄乡窑沟村，该村及邻村土地流转200余亩，经整理后大规模种植杏树、大果沙棘及毛健茶、黄花菜等经济作物，为避免鲜杏挂果后保存期短造成浪费，合作社购买一台果蔬烘干机用于烘干果干。2021年，国家从严查处各类违法违规占用耕地或改变耕地用途行为，宁武县丹香园种养殖专业合作社厂址被认定为违规占用耕地从事非农业活动，7月份中旬厂址被强制拆除，目前仅剩设备等待转移。且由于大部分杏树目前处于生长期，预计几年后才能实现丰产，烘干机处于闲置状态。</w:t>
      </w:r>
    </w:p>
    <w:p>
      <w:pPr>
        <w:pStyle w:val="6"/>
        <w:ind w:firstLine="560"/>
      </w:pPr>
      <w:bookmarkStart w:id="16" w:name="_Toc31471"/>
      <w:bookmarkStart w:id="17" w:name="_Toc390"/>
      <w:r>
        <w:rPr>
          <w:rFonts w:hint="eastAsia"/>
        </w:rPr>
        <w:t>（三）项目后期跟踪监管不到位</w:t>
      </w:r>
      <w:bookmarkEnd w:id="16"/>
      <w:bookmarkEnd w:id="17"/>
    </w:p>
    <w:p>
      <w:pPr>
        <w:ind w:firstLine="560"/>
      </w:pPr>
      <w:r>
        <w:rPr>
          <w:rFonts w:hint="eastAsia"/>
        </w:rPr>
        <w:t>从项目的产出和效益指标我们看到，宁武县田野种养殖专业合作社由于后期缺少市场而导致半停业状态，机器空置率高，宁武县丹香园种养殖专业合作社则由于厂房问题，导致目前机器处于闲置状态，不能发挥机器应有的作用，造成了资源的浪费，也导致没有实现建设任务书中预期的经济效益和社会效益，另外两个合作社没有进行设备运行状态的年检和报备工作，反映出该项目后期缺乏跟踪监管以及专业指导，导致项目的可持续性较差。</w:t>
      </w:r>
    </w:p>
    <w:p>
      <w:pPr>
        <w:pStyle w:val="4"/>
        <w:ind w:firstLine="560"/>
      </w:pPr>
      <w:r>
        <w:rPr>
          <w:rFonts w:hint="eastAsia"/>
        </w:rPr>
        <w:t>五、有关建议</w:t>
      </w:r>
    </w:p>
    <w:p>
      <w:pPr>
        <w:pStyle w:val="6"/>
        <w:ind w:firstLine="560"/>
      </w:pPr>
      <w:bookmarkStart w:id="18" w:name="_Toc12788"/>
      <w:bookmarkStart w:id="19" w:name="_Toc20134"/>
      <w:r>
        <w:rPr>
          <w:rFonts w:hint="eastAsia"/>
        </w:rPr>
        <w:t>（一）针对宁武县田野种养殖专业合作社农机具利用率低的建议</w:t>
      </w:r>
      <w:bookmarkEnd w:id="18"/>
      <w:bookmarkEnd w:id="19"/>
    </w:p>
    <w:p>
      <w:pPr>
        <w:ind w:firstLine="560"/>
      </w:pPr>
      <w:r>
        <w:rPr>
          <w:rFonts w:hint="eastAsia"/>
        </w:rPr>
        <w:t xml:space="preserve"> 建议宁武县田野种养殖专业合作社寻找其他合作伙伴，打开宁武县域内销售市场。一方面保持生产高质量、高营养的食用油，通过线下门店销售、超市或农贸市场销售柜（门店）租赁、网上带货等途径，扩大产品销售范围，在县域及周围打出品牌竞争力；另一方面，加强学习、加紧培训，掌握低成本、低消耗的榨油技术。依托本村及县域农业发展，栽种或购买低价原材料，保证合作社既能生产高质量食用油，也能提供低成本食用油，充分利用设备，提升产品销量，发挥带头示范作用。</w:t>
      </w:r>
    </w:p>
    <w:p>
      <w:pPr>
        <w:pStyle w:val="6"/>
        <w:ind w:firstLine="560"/>
      </w:pPr>
      <w:bookmarkStart w:id="20" w:name="_Toc19321"/>
      <w:bookmarkStart w:id="21" w:name="_Toc31742"/>
      <w:r>
        <w:rPr>
          <w:rFonts w:hint="eastAsia"/>
        </w:rPr>
        <w:t>（二）针对宁武县丹香园种养殖专业合作社设备闲置的建议</w:t>
      </w:r>
      <w:bookmarkEnd w:id="20"/>
      <w:bookmarkEnd w:id="21"/>
    </w:p>
    <w:p>
      <w:pPr>
        <w:ind w:firstLine="560"/>
      </w:pPr>
      <w:r>
        <w:rPr>
          <w:rFonts w:hint="eastAsia"/>
        </w:rPr>
        <w:t>建议宁武县丹香园种养殖专业合作社寻找新厂址，充分利用设备，发挥设备积极作用。由于周围杏树大部分处于生长期，等到挂果需要一定期限，但该设备除了烘干杏以外，还可以烘干食用菌、药材，黄花菜、核桃等其他农作物，建议宁武县丹香园种养殖专业合作可在日常寻找合作伙伴，或与周围农户合作，或与县食品公司或药材公司合作，拓展使用途径。在烘干果蔬的同时，打造自己的食品品牌，在宁武县域内，打开果（蔬）干销售市场，建成一条生产、烘干、加工、销售流水线，提高设备使用率，提高合作社生产效率，增加合作社总产值，避免设备闲置，设备、资金发挥不出作用的情况。</w:t>
      </w:r>
    </w:p>
    <w:p>
      <w:pPr>
        <w:pStyle w:val="6"/>
        <w:ind w:firstLine="560"/>
      </w:pPr>
      <w:bookmarkStart w:id="22" w:name="_Toc2624"/>
      <w:bookmarkStart w:id="23" w:name="_Toc20380"/>
      <w:r>
        <w:rPr>
          <w:rFonts w:hint="eastAsia"/>
        </w:rPr>
        <w:t>（三）加强后期跟踪督导</w:t>
      </w:r>
      <w:bookmarkEnd w:id="22"/>
      <w:bookmarkEnd w:id="23"/>
    </w:p>
    <w:p>
      <w:pPr>
        <w:ind w:firstLine="560"/>
      </w:pPr>
      <w:r>
        <w:rPr>
          <w:rFonts w:hint="eastAsia"/>
        </w:rPr>
        <w:t>项目实施单位应按照宁武县农业机械服务中心《2020年农产品产后处理及初加工装备技术示范项目实施方案》的要求，“严格执行项目定期督察制度，不定期组织对试点示范项目进行跟踪督导，及时掌握项目执行情况和资金使用情况”。经济效益和社会效益的实现不是一朝一夕，项目落地之后还需要进行进一步的跟踪和必要的指导，以实现资金的效益最大化。</w:t>
      </w:r>
    </w:p>
    <w:p>
      <w:pPr>
        <w:pStyle w:val="2"/>
        <w:widowControl/>
        <w:ind w:firstLine="0" w:firstLineChars="0"/>
        <w:rPr>
          <w:lang w:val="en-US"/>
        </w:rPr>
      </w:pPr>
    </w:p>
    <w:sectPr>
      <w:headerReference r:id="rId12" w:type="first"/>
      <w:footerReference r:id="rId14" w:type="first"/>
      <w:headerReference r:id="rId11" w:type="default"/>
      <w:footerReference r:id="rId13" w:type="default"/>
      <w:pgSz w:w="11906" w:h="16838"/>
      <w:pgMar w:top="2041" w:right="1417" w:bottom="1417" w:left="1531" w:header="851" w:footer="992" w:gutter="0"/>
      <w:pgNumType w:start="1"/>
      <w:cols w:space="0" w:num="1"/>
      <w:titlePg/>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6982069"/>
      <w:docPartObj>
        <w:docPartGallery w:val="AutoText"/>
      </w:docPartObj>
    </w:sdtPr>
    <w:sdtEndPr>
      <w:rPr>
        <w:sz w:val="24"/>
      </w:rPr>
    </w:sdtEndPr>
    <w:sdtContent>
      <w:p>
        <w:pPr>
          <w:pStyle w:val="8"/>
          <w:ind w:firstLine="0" w:firstLineChars="0"/>
          <w:jc w:val="center"/>
          <w:rPr>
            <w:sz w:val="24"/>
          </w:rPr>
        </w:pPr>
        <w:r>
          <w:rPr>
            <w:sz w:val="24"/>
          </w:rPr>
          <w:fldChar w:fldCharType="begin"/>
        </w:r>
        <w:r>
          <w:rPr>
            <w:sz w:val="24"/>
          </w:rPr>
          <w:instrText xml:space="preserve">PAGE   \* MERGEFORMAT</w:instrText>
        </w:r>
        <w:r>
          <w:rPr>
            <w:sz w:val="24"/>
          </w:rPr>
          <w:fldChar w:fldCharType="separate"/>
        </w:r>
        <w:r>
          <w:rPr>
            <w:sz w:val="24"/>
            <w:lang w:val="zh-CN"/>
          </w:rPr>
          <w:t>2</w:t>
        </w:r>
        <w:r>
          <w:rPr>
            <w:sz w:val="24"/>
          </w:rPr>
          <w:fldChar w:fldCharType="end"/>
        </w:r>
      </w:p>
    </w:sdtContent>
  </w:sdt>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4507479"/>
      <w:docPartObj>
        <w:docPartGallery w:val="AutoText"/>
      </w:docPartObj>
    </w:sdtPr>
    <w:sdtEndPr>
      <w:rPr>
        <w:sz w:val="24"/>
      </w:rPr>
    </w:sdtEndPr>
    <w:sdtContent>
      <w:p>
        <w:pPr>
          <w:pStyle w:val="8"/>
          <w:ind w:firstLine="0" w:firstLineChars="0"/>
          <w:jc w:val="center"/>
          <w:rPr>
            <w:sz w:val="24"/>
          </w:rPr>
        </w:pPr>
        <w:r>
          <w:rPr>
            <w:sz w:val="24"/>
          </w:rPr>
          <w:fldChar w:fldCharType="begin"/>
        </w:r>
        <w:r>
          <w:rPr>
            <w:sz w:val="24"/>
          </w:rPr>
          <w:instrText xml:space="preserve">PAGE   \* MERGEFORMAT</w:instrText>
        </w:r>
        <w:r>
          <w:rPr>
            <w:sz w:val="24"/>
          </w:rPr>
          <w:fldChar w:fldCharType="separate"/>
        </w:r>
        <w:r>
          <w:rPr>
            <w:sz w:val="24"/>
            <w:lang w:val="zh-CN"/>
          </w:rPr>
          <w:t>2</w:t>
        </w:r>
        <w:r>
          <w:rPr>
            <w:sz w:val="24"/>
          </w:rPr>
          <w:fldChar w:fldCharType="end"/>
        </w:r>
      </w:p>
    </w:sdtContent>
  </w:sdt>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0" w:firstLineChars="0"/>
      <w:jc w:val="left"/>
      <w:rPr>
        <w:rFonts w:ascii="宋体" w:hAnsi="宋体" w:eastAsia="宋体" w:cs="宋体"/>
        <w:sz w:val="22"/>
        <w:szCs w:val="22"/>
      </w:rPr>
    </w:pPr>
    <w:r>
      <w:rPr>
        <w:sz w:val="22"/>
        <w:szCs w:val="22"/>
      </w:rPr>
      <w:drawing>
        <wp:inline distT="0" distB="0" distL="114300" distR="114300">
          <wp:extent cx="240665" cy="240665"/>
          <wp:effectExtent l="0" t="0" r="635" b="6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rPr>
      <w:t xml:space="preserve">山西亚泰     </w:t>
    </w:r>
    <w:r>
      <w:rPr>
        <w:rFonts w:ascii="宋体" w:hAnsi="宋体" w:eastAsia="宋体" w:cs="宋体"/>
        <w:sz w:val="22"/>
        <w:szCs w:val="22"/>
      </w:rPr>
      <w:t xml:space="preserve"> </w:t>
    </w:r>
    <w:r>
      <w:rPr>
        <w:rFonts w:hint="eastAsia" w:ascii="宋体" w:hAnsi="宋体" w:eastAsia="宋体" w:cs="宋体"/>
        <w:sz w:val="22"/>
        <w:szCs w:val="22"/>
      </w:rPr>
      <w:t xml:space="preserve">   </w:t>
    </w:r>
    <w:r>
      <w:rPr>
        <w:rFonts w:ascii="宋体" w:hAnsi="宋体" w:eastAsia="宋体" w:cs="宋体"/>
        <w:sz w:val="22"/>
        <w:szCs w:val="22"/>
      </w:rPr>
      <w:t xml:space="preserve"> </w:t>
    </w:r>
    <w:r>
      <w:rPr>
        <w:rFonts w:hint="eastAsia" w:ascii="宋体" w:hAnsi="宋体" w:eastAsia="宋体" w:cs="宋体"/>
        <w:sz w:val="22"/>
        <w:szCs w:val="22"/>
      </w:rPr>
      <w:t>宁武县农业机械服务中心2020年度统筹整合财政资金绩效评价报告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0" w:firstLineChars="0"/>
      <w:jc w:val="left"/>
      <w:rPr>
        <w:rFonts w:ascii="宋体" w:hAnsi="宋体" w:eastAsia="宋体" w:cs="宋体"/>
        <w:sz w:val="22"/>
        <w:szCs w:val="22"/>
      </w:rPr>
    </w:pPr>
    <w:r>
      <w:rPr>
        <w:sz w:val="22"/>
        <w:szCs w:val="22"/>
      </w:rPr>
      <w:drawing>
        <wp:inline distT="0" distB="0" distL="114300" distR="114300">
          <wp:extent cx="240665" cy="24066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rPr>
      <w:t xml:space="preserve">山西亚泰     </w:t>
    </w:r>
    <w:r>
      <w:rPr>
        <w:rFonts w:ascii="宋体" w:hAnsi="宋体" w:eastAsia="宋体" w:cs="宋体"/>
        <w:sz w:val="22"/>
        <w:szCs w:val="22"/>
      </w:rPr>
      <w:t xml:space="preserve"> </w:t>
    </w:r>
    <w:r>
      <w:rPr>
        <w:rFonts w:hint="eastAsia" w:ascii="宋体" w:hAnsi="宋体" w:eastAsia="宋体" w:cs="宋体"/>
        <w:sz w:val="22"/>
        <w:szCs w:val="22"/>
      </w:rPr>
      <w:t xml:space="preserve">   </w:t>
    </w:r>
    <w:r>
      <w:rPr>
        <w:rFonts w:ascii="宋体" w:hAnsi="宋体" w:eastAsia="宋体" w:cs="宋体"/>
        <w:sz w:val="22"/>
        <w:szCs w:val="22"/>
      </w:rPr>
      <w:t xml:space="preserve"> </w:t>
    </w:r>
    <w:r>
      <w:rPr>
        <w:rFonts w:hint="eastAsia" w:ascii="宋体" w:hAnsi="宋体" w:eastAsia="宋体" w:cs="宋体"/>
        <w:sz w:val="22"/>
        <w:szCs w:val="22"/>
      </w:rPr>
      <w:t>宁武县农业机械服务中心2020年度统筹整合财政资金绩效评价报告</w:t>
    </w:r>
  </w:p>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40"/>
  <w:drawingGridVerticalSpacing w:val="381"/>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lOGVmMDljNzk5ZGMwYjQ4ZmEwMTM4ODM0MWVkMGMifQ=="/>
  </w:docVars>
  <w:rsids>
    <w:rsidRoot w:val="3FD51CCF"/>
    <w:rsid w:val="00021093"/>
    <w:rsid w:val="00444DFA"/>
    <w:rsid w:val="0045069D"/>
    <w:rsid w:val="00501526"/>
    <w:rsid w:val="009E36D1"/>
    <w:rsid w:val="01D80D27"/>
    <w:rsid w:val="020269E1"/>
    <w:rsid w:val="02C943F9"/>
    <w:rsid w:val="02FE150E"/>
    <w:rsid w:val="04334714"/>
    <w:rsid w:val="05585036"/>
    <w:rsid w:val="056925C0"/>
    <w:rsid w:val="0A2175C7"/>
    <w:rsid w:val="0AFC15AF"/>
    <w:rsid w:val="0B6050D7"/>
    <w:rsid w:val="0D38392D"/>
    <w:rsid w:val="0E1D5C28"/>
    <w:rsid w:val="100D2492"/>
    <w:rsid w:val="119F6ADC"/>
    <w:rsid w:val="11EA1814"/>
    <w:rsid w:val="124F26A8"/>
    <w:rsid w:val="13B1730C"/>
    <w:rsid w:val="14DF579C"/>
    <w:rsid w:val="15BC4992"/>
    <w:rsid w:val="175C3A02"/>
    <w:rsid w:val="1B2D2976"/>
    <w:rsid w:val="1C9B5254"/>
    <w:rsid w:val="1CCA7872"/>
    <w:rsid w:val="1CE27643"/>
    <w:rsid w:val="1D672783"/>
    <w:rsid w:val="1E762D62"/>
    <w:rsid w:val="209A5E2C"/>
    <w:rsid w:val="20AF78C5"/>
    <w:rsid w:val="20F8147A"/>
    <w:rsid w:val="219239E3"/>
    <w:rsid w:val="227C5410"/>
    <w:rsid w:val="22BF07E5"/>
    <w:rsid w:val="23722F2E"/>
    <w:rsid w:val="275E20BF"/>
    <w:rsid w:val="28EA24E6"/>
    <w:rsid w:val="2AE6049B"/>
    <w:rsid w:val="2BCC2AB3"/>
    <w:rsid w:val="2E9A37B0"/>
    <w:rsid w:val="2FC97DA6"/>
    <w:rsid w:val="2FFA4034"/>
    <w:rsid w:val="35211176"/>
    <w:rsid w:val="37DA668D"/>
    <w:rsid w:val="37FA6165"/>
    <w:rsid w:val="3999470C"/>
    <w:rsid w:val="3A300FFA"/>
    <w:rsid w:val="3AEC1B43"/>
    <w:rsid w:val="3D1F3E91"/>
    <w:rsid w:val="3F4B49C2"/>
    <w:rsid w:val="3F5E24A3"/>
    <w:rsid w:val="3FD51CCF"/>
    <w:rsid w:val="3FDB6C61"/>
    <w:rsid w:val="40ED2D31"/>
    <w:rsid w:val="42E57040"/>
    <w:rsid w:val="433F2039"/>
    <w:rsid w:val="436A76A4"/>
    <w:rsid w:val="45BF6DE0"/>
    <w:rsid w:val="4974719D"/>
    <w:rsid w:val="4BBC3858"/>
    <w:rsid w:val="4BC80AB5"/>
    <w:rsid w:val="4D003942"/>
    <w:rsid w:val="4FC1316B"/>
    <w:rsid w:val="5000282F"/>
    <w:rsid w:val="51CE0294"/>
    <w:rsid w:val="520115CA"/>
    <w:rsid w:val="52BA52B3"/>
    <w:rsid w:val="53E302C2"/>
    <w:rsid w:val="547D0BE8"/>
    <w:rsid w:val="56BB26A0"/>
    <w:rsid w:val="579F5B28"/>
    <w:rsid w:val="58477014"/>
    <w:rsid w:val="59506F62"/>
    <w:rsid w:val="59B318A5"/>
    <w:rsid w:val="5B9B714D"/>
    <w:rsid w:val="5C663C94"/>
    <w:rsid w:val="5EAB77F7"/>
    <w:rsid w:val="62B0016E"/>
    <w:rsid w:val="64693248"/>
    <w:rsid w:val="664C0AE5"/>
    <w:rsid w:val="673F740E"/>
    <w:rsid w:val="6759653D"/>
    <w:rsid w:val="685335D5"/>
    <w:rsid w:val="68DA6693"/>
    <w:rsid w:val="699A26CB"/>
    <w:rsid w:val="6C5B487B"/>
    <w:rsid w:val="6D7B244A"/>
    <w:rsid w:val="6DE91D97"/>
    <w:rsid w:val="6E232535"/>
    <w:rsid w:val="72034FD2"/>
    <w:rsid w:val="75A144C2"/>
    <w:rsid w:val="76755207"/>
    <w:rsid w:val="769B499F"/>
    <w:rsid w:val="78DB5AED"/>
    <w:rsid w:val="796A7D14"/>
    <w:rsid w:val="7A26734C"/>
    <w:rsid w:val="7D385226"/>
    <w:rsid w:val="7D4F64DF"/>
    <w:rsid w:val="7D8853AD"/>
    <w:rsid w:val="7FAF7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ascii="仿宋_GB2312" w:hAnsi="仿宋_GB2312" w:eastAsia="仿宋_GB2312" w:cstheme="minorBidi"/>
      <w:kern w:val="2"/>
      <w:sz w:val="28"/>
      <w:szCs w:val="24"/>
      <w:lang w:val="en-US" w:eastAsia="zh-CN" w:bidi="ar-SA"/>
    </w:rPr>
  </w:style>
  <w:style w:type="paragraph" w:styleId="4">
    <w:name w:val="heading 1"/>
    <w:basedOn w:val="5"/>
    <w:next w:val="5"/>
    <w:qFormat/>
    <w:uiPriority w:val="0"/>
    <w:pPr>
      <w:keepNext/>
      <w:keepLines/>
      <w:ind w:firstLine="880" w:firstLineChars="200"/>
      <w:jc w:val="both"/>
    </w:pPr>
    <w:rPr>
      <w:rFonts w:ascii="黑体" w:hAnsi="黑体" w:eastAsia="黑体"/>
      <w:b w:val="0"/>
      <w:kern w:val="44"/>
      <w:sz w:val="28"/>
    </w:rPr>
  </w:style>
  <w:style w:type="paragraph" w:styleId="6">
    <w:name w:val="heading 2"/>
    <w:basedOn w:val="1"/>
    <w:next w:val="1"/>
    <w:unhideWhenUsed/>
    <w:qFormat/>
    <w:uiPriority w:val="0"/>
    <w:pPr>
      <w:keepNext/>
      <w:keepLines/>
      <w:outlineLvl w:val="1"/>
    </w:pPr>
    <w:rPr>
      <w:rFonts w:ascii="楷体_GB2312" w:hAnsi="楷体_GB2312" w:eastAsia="楷体_GB2312"/>
    </w:rPr>
  </w:style>
  <w:style w:type="paragraph" w:styleId="7">
    <w:name w:val="heading 3"/>
    <w:basedOn w:val="1"/>
    <w:next w:val="1"/>
    <w:unhideWhenUsed/>
    <w:qFormat/>
    <w:uiPriority w:val="0"/>
    <w:pPr>
      <w:keepNext/>
      <w:keepLines/>
      <w:outlineLvl w:val="2"/>
    </w:pPr>
    <w:rPr>
      <w:b/>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1"/>
    <w:rPr>
      <w:rFonts w:cs="仿宋_GB2312"/>
      <w:szCs w:val="28"/>
      <w:lang w:val="zh-CN" w:bidi="zh-CN"/>
    </w:rPr>
  </w:style>
  <w:style w:type="paragraph" w:styleId="3">
    <w:name w:val="Plain Text"/>
    <w:basedOn w:val="1"/>
    <w:qFormat/>
    <w:uiPriority w:val="0"/>
    <w:rPr>
      <w:rFonts w:ascii="宋体" w:hAnsi="Courier New"/>
      <w:szCs w:val="20"/>
    </w:rPr>
  </w:style>
  <w:style w:type="paragraph" w:styleId="5">
    <w:name w:val="Title"/>
    <w:basedOn w:val="1"/>
    <w:qFormat/>
    <w:uiPriority w:val="0"/>
    <w:pPr>
      <w:ind w:firstLine="0" w:firstLineChars="0"/>
      <w:jc w:val="center"/>
      <w:outlineLvl w:val="0"/>
    </w:pPr>
    <w:rPr>
      <w:rFonts w:ascii="Arial" w:hAnsi="Arial" w:eastAsia="方正小标宋简体"/>
      <w:b/>
      <w:sz w:val="44"/>
    </w:rPr>
  </w:style>
  <w:style w:type="paragraph" w:styleId="8">
    <w:name w:val="footer"/>
    <w:basedOn w:val="1"/>
    <w:link w:val="18"/>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 w:type="table" w:customStyle="1" w:styleId="17">
    <w:name w:val="Table Normal"/>
    <w:semiHidden/>
    <w:unhideWhenUsed/>
    <w:qFormat/>
    <w:uiPriority w:val="0"/>
    <w:tblPr>
      <w:tblCellMar>
        <w:top w:w="0" w:type="dxa"/>
        <w:left w:w="0" w:type="dxa"/>
        <w:bottom w:w="0" w:type="dxa"/>
        <w:right w:w="0" w:type="dxa"/>
      </w:tblCellMar>
    </w:tblPr>
  </w:style>
  <w:style w:type="character" w:customStyle="1" w:styleId="18">
    <w:name w:val="页脚 字符"/>
    <w:basedOn w:val="14"/>
    <w:link w:val="8"/>
    <w:qFormat/>
    <w:uiPriority w:val="99"/>
    <w:rPr>
      <w:rFonts w:ascii="仿宋_GB2312" w:hAnsi="仿宋_GB2312" w:eastAsia="仿宋_GB2312"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6476</Words>
  <Characters>6752</Characters>
  <Lines>49</Lines>
  <Paragraphs>13</Paragraphs>
  <TotalTime>9</TotalTime>
  <ScaleCrop>false</ScaleCrop>
  <LinksUpToDate>false</LinksUpToDate>
  <CharactersWithSpaces>6756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2022-09-13T11:33:00Z</dcterms:created>
  <dc:creator>.音越</dc:creator>
  <cp:lastModifiedBy>随意@_@</cp:lastModifiedBy>
  <cp:lastPrinted>2022-05-17T08:31:00Z</cp:lastPrinted>
  <dcterms:modified xsi:type="dcterms:W3CDTF">2022-09-13T12:16:08Z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DE037926FE8549D68CD101D3EBD49617</vt:lpwstr>
  </property>
</Properties>
</file>