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p>
    <w:p>
      <w:pPr>
        <w:bidi w:val="0"/>
        <w:rPr>
          <w:rFonts w:hint="eastAsia"/>
        </w:rPr>
      </w:pPr>
    </w:p>
    <w:p>
      <w:pPr>
        <w:pStyle w:val="7"/>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w:t>
      </w:r>
      <w:r>
        <w:rPr>
          <w:rFonts w:hint="eastAsia" w:ascii="方正小标宋简体" w:hAnsi="方正小标宋简体" w:eastAsia="方正小标宋简体" w:cs="方正小标宋简体"/>
          <w:sz w:val="44"/>
          <w:szCs w:val="44"/>
          <w:lang w:val="en-US" w:eastAsia="zh-CN"/>
        </w:rPr>
        <w:t>石家庄镇人民政府</w:t>
      </w:r>
      <w:r>
        <w:rPr>
          <w:rFonts w:hint="eastAsia" w:ascii="方正小标宋简体" w:hAnsi="方正小标宋简体" w:eastAsia="方正小标宋简体" w:cs="方正小标宋简体"/>
          <w:sz w:val="44"/>
          <w:szCs w:val="44"/>
        </w:rPr>
        <w:t>2020年统筹整合</w:t>
      </w:r>
    </w:p>
    <w:p>
      <w:pPr>
        <w:pStyle w:val="7"/>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财政资金绩效评价报告</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pStyle w:val="3"/>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单位名称</w:t>
      </w:r>
      <w:r>
        <w:rPr>
          <w:rFonts w:hint="eastAsia" w:ascii="黑体" w:hAnsi="黑体" w:eastAsia="黑体" w:cs="黑体"/>
          <w:kern w:val="0"/>
          <w:sz w:val="32"/>
          <w:szCs w:val="32"/>
        </w:rPr>
        <w:t>：宁武县</w:t>
      </w:r>
      <w:r>
        <w:rPr>
          <w:rFonts w:hint="eastAsia" w:ascii="黑体" w:hAnsi="黑体" w:eastAsia="黑体" w:cs="黑体"/>
          <w:kern w:val="0"/>
          <w:sz w:val="32"/>
          <w:szCs w:val="32"/>
          <w:lang w:val="en-US" w:eastAsia="zh-CN"/>
        </w:rPr>
        <w:t>石家庄镇人民政府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委托单位：宁武县财政局</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评价机构：山西亚泰会计师事务所有限公司</w:t>
      </w:r>
    </w:p>
    <w:p>
      <w:pPr>
        <w:bidi w:val="0"/>
      </w:pPr>
    </w:p>
    <w:p>
      <w:pPr>
        <w:pStyle w:val="2"/>
      </w:pPr>
    </w:p>
    <w:p>
      <w:pPr>
        <w:autoSpaceDE w:val="0"/>
        <w:autoSpaceDN w:val="0"/>
        <w:adjustRightInd w:val="0"/>
        <w:ind w:firstLine="0" w:firstLineChars="0"/>
        <w:jc w:val="center"/>
        <w:sectPr>
          <w:headerReference r:id="rId5" w:type="default"/>
          <w:footerReference r:id="rId6" w:type="default"/>
          <w:pgSz w:w="11905" w:h="16838"/>
          <w:pgMar w:top="2041" w:right="1417" w:bottom="1417" w:left="1531" w:header="850" w:footer="850" w:gutter="0"/>
          <w:pgBorders>
            <w:top w:val="none" w:sz="0" w:space="0"/>
            <w:left w:val="none" w:sz="0" w:space="0"/>
            <w:bottom w:val="none" w:sz="0" w:space="0"/>
            <w:right w:val="none" w:sz="0" w:space="0"/>
          </w:pgBorders>
          <w:pgNumType w:start="1"/>
          <w:cols w:space="720" w:num="1"/>
          <w:docGrid w:linePitch="312" w:charSpace="0"/>
        </w:sectPr>
      </w:pPr>
      <w:r>
        <w:rPr>
          <w:rFonts w:hint="eastAsia" w:ascii="黑体" w:hAnsi="黑体" w:eastAsia="黑体" w:cs="黑体"/>
          <w:kern w:val="0"/>
          <w:sz w:val="32"/>
          <w:szCs w:val="32"/>
        </w:rPr>
        <w:t>二〇二一年十月</w:t>
      </w:r>
    </w:p>
    <w:p>
      <w:pPr>
        <w:ind w:firstLine="0" w:firstLineChars="0"/>
        <w:jc w:val="center"/>
        <w:outlineLvl w:val="0"/>
        <w:rPr>
          <w:rFonts w:ascii="方正小标宋简体" w:hAnsi="方正小标宋简体" w:eastAsia="方正小标宋简体" w:cs="方正小标宋简体"/>
          <w:sz w:val="36"/>
          <w:szCs w:val="36"/>
        </w:rPr>
      </w:pPr>
      <w:bookmarkStart w:id="0" w:name="_Toc21060"/>
      <w:bookmarkStart w:id="1" w:name="_Toc627"/>
      <w:bookmarkStart w:id="2" w:name="_Toc9569"/>
      <w:bookmarkStart w:id="3" w:name="_Toc32077"/>
      <w:bookmarkStart w:id="4" w:name="_Toc23545"/>
      <w:bookmarkStart w:id="5" w:name="_Toc304"/>
      <w:r>
        <w:rPr>
          <w:rFonts w:hint="eastAsia" w:ascii="方正小标宋简体" w:hAnsi="方正小标宋简体" w:eastAsia="方正小标宋简体" w:cs="方正小标宋简体"/>
          <w:sz w:val="36"/>
          <w:szCs w:val="36"/>
        </w:rPr>
        <w:t>宁武县</w:t>
      </w:r>
      <w:r>
        <w:rPr>
          <w:rFonts w:hint="eastAsia" w:ascii="方正小标宋简体" w:hAnsi="方正小标宋简体" w:eastAsia="方正小标宋简体" w:cs="方正小标宋简体"/>
          <w:sz w:val="36"/>
          <w:szCs w:val="36"/>
          <w:lang w:val="en-US" w:eastAsia="zh-CN"/>
        </w:rPr>
        <w:t>石家庄镇人民政府2</w:t>
      </w:r>
      <w:r>
        <w:rPr>
          <w:rFonts w:hint="eastAsia" w:ascii="方正小标宋简体" w:hAnsi="方正小标宋简体" w:eastAsia="方正小标宋简体" w:cs="方正小标宋简体"/>
          <w:sz w:val="36"/>
          <w:szCs w:val="36"/>
        </w:rPr>
        <w:t>020年统筹整合</w:t>
      </w:r>
      <w:bookmarkEnd w:id="0"/>
      <w:bookmarkEnd w:id="1"/>
      <w:bookmarkEnd w:id="2"/>
      <w:bookmarkEnd w:id="3"/>
      <w:bookmarkEnd w:id="4"/>
      <w:bookmarkEnd w:id="5"/>
    </w:p>
    <w:p>
      <w:pPr>
        <w:ind w:firstLine="0" w:firstLineChars="0"/>
        <w:jc w:val="center"/>
        <w:outlineLvl w:val="0"/>
        <w:rPr>
          <w:rFonts w:hint="eastAsia" w:ascii="方正小标宋简体" w:hAnsi="方正小标宋简体" w:eastAsia="方正小标宋简体" w:cs="方正小标宋简体"/>
          <w:sz w:val="36"/>
          <w:szCs w:val="36"/>
        </w:rPr>
      </w:pPr>
      <w:bookmarkStart w:id="6" w:name="_Toc15483"/>
      <w:bookmarkStart w:id="7" w:name="_Toc8250"/>
      <w:bookmarkStart w:id="8" w:name="_Toc2429"/>
      <w:bookmarkStart w:id="9" w:name="_Toc1318"/>
      <w:bookmarkStart w:id="10" w:name="_Toc29581"/>
      <w:bookmarkStart w:id="11" w:name="_Toc21331"/>
      <w:bookmarkStart w:id="12" w:name="_Toc24617"/>
      <w:r>
        <w:rPr>
          <w:rFonts w:hint="eastAsia" w:ascii="方正小标宋简体" w:hAnsi="方正小标宋简体" w:eastAsia="方正小标宋简体" w:cs="方正小标宋简体"/>
          <w:sz w:val="36"/>
          <w:szCs w:val="36"/>
        </w:rPr>
        <w:t>财政绩效评价报告</w:t>
      </w:r>
      <w:bookmarkEnd w:id="6"/>
      <w:bookmarkEnd w:id="7"/>
      <w:bookmarkEnd w:id="8"/>
      <w:bookmarkEnd w:id="9"/>
      <w:bookmarkEnd w:id="10"/>
      <w:bookmarkEnd w:id="11"/>
      <w:bookmarkEnd w:id="12"/>
    </w:p>
    <w:p>
      <w:pPr>
        <w:pStyle w:val="2"/>
      </w:pPr>
      <w:r>
        <w:rPr>
          <w:rFonts w:hint="eastAsia"/>
          <w:lang w:val="en-US" w:eastAsia="zh-CN"/>
        </w:rPr>
        <w:t>为深入贯彻落实《中共山西省委 山西省人民政府关于全面实施预算绩效管理的实施意见》（晋发〔2018〕39号）精神，全面实施预算绩效管理，提高财政资源配置效率和使用效益，增强财政支出的责任和效率意识，受宁武县财政局委托，山西亚泰会计师事务所有限公司于2021年6月对</w:t>
      </w:r>
      <w:r>
        <w:rPr>
          <w:rFonts w:hint="eastAsia"/>
        </w:rPr>
        <w:t>宁武县</w:t>
      </w:r>
      <w:r>
        <w:rPr>
          <w:rFonts w:hint="eastAsia"/>
          <w:lang w:val="en-US" w:eastAsia="zh-CN"/>
        </w:rPr>
        <w:t>石家庄镇人民政府2</w:t>
      </w:r>
      <w:r>
        <w:rPr>
          <w:rFonts w:hint="eastAsia"/>
        </w:rPr>
        <w:t>020年统筹整合</w:t>
      </w:r>
      <w:r>
        <w:rPr>
          <w:rFonts w:hint="eastAsia"/>
          <w:lang w:val="en-US" w:eastAsia="zh-CN"/>
        </w:rPr>
        <w:t>财政资金进行了绩效评价。</w:t>
      </w:r>
    </w:p>
    <w:p>
      <w:pPr>
        <w:pStyle w:val="4"/>
        <w:ind w:firstLine="560"/>
      </w:pPr>
      <w:bookmarkStart w:id="13" w:name="_Toc29878"/>
      <w:bookmarkStart w:id="14" w:name="_Toc20711"/>
      <w:r>
        <w:rPr>
          <w:rFonts w:hint="eastAsia"/>
        </w:rPr>
        <w:t>一、项目基本情况</w:t>
      </w:r>
      <w:bookmarkEnd w:id="13"/>
      <w:bookmarkEnd w:id="14"/>
      <w:r>
        <w:rPr>
          <w:rFonts w:hint="eastAsia"/>
        </w:rPr>
        <w:tab/>
      </w:r>
    </w:p>
    <w:p>
      <w:pPr>
        <w:pStyle w:val="5"/>
        <w:ind w:firstLine="560"/>
      </w:pPr>
      <w:bookmarkStart w:id="15" w:name="_Toc18420"/>
      <w:bookmarkStart w:id="16" w:name="_Toc28384"/>
      <w:r>
        <w:rPr>
          <w:rFonts w:hint="eastAsia"/>
          <w:lang w:eastAsia="zh-CN"/>
        </w:rPr>
        <w:t>（</w:t>
      </w:r>
      <w:r>
        <w:rPr>
          <w:rFonts w:hint="eastAsia"/>
          <w:lang w:val="en-US" w:eastAsia="zh-CN"/>
        </w:rPr>
        <w:t>一</w:t>
      </w:r>
      <w:r>
        <w:rPr>
          <w:rFonts w:hint="eastAsia"/>
          <w:lang w:eastAsia="zh-CN"/>
        </w:rPr>
        <w:t>）</w:t>
      </w:r>
      <w:r>
        <w:rPr>
          <w:rFonts w:hint="eastAsia"/>
        </w:rPr>
        <w:t>项目</w:t>
      </w:r>
      <w:bookmarkEnd w:id="15"/>
      <w:bookmarkEnd w:id="16"/>
      <w:r>
        <w:rPr>
          <w:rFonts w:hint="eastAsia"/>
          <w:lang w:val="en-US" w:eastAsia="zh-CN"/>
        </w:rPr>
        <w:t>背景</w:t>
      </w:r>
      <w:r>
        <w:rPr>
          <w:rFonts w:hint="eastAsia"/>
        </w:rPr>
        <w:tab/>
      </w:r>
    </w:p>
    <w:p>
      <w:pPr>
        <w:ind w:firstLine="560"/>
        <w:rPr>
          <w:rFonts w:hint="default"/>
          <w:lang w:val="en-US" w:eastAsia="zh-CN"/>
        </w:rPr>
      </w:pPr>
      <w:r>
        <w:rPr>
          <w:rFonts w:hint="eastAsia"/>
        </w:rPr>
        <w:t>按照党的十九大关于打赢脱贫攻坚战总体部署，根据各地区各部门贯彻落实《中共中央国务院关于打赢脱贫攻坚战的决定》（中发〔2015〕34号）的进展和实践中存在的突出问题，就完善顶层设计、强化政策措施、加强统筹协调</w:t>
      </w:r>
      <w:r>
        <w:rPr>
          <w:rFonts w:hint="eastAsia"/>
          <w:lang w:eastAsia="zh-CN"/>
        </w:rPr>
        <w:t>、</w:t>
      </w:r>
      <w:r>
        <w:rPr>
          <w:rFonts w:hint="eastAsia"/>
        </w:rPr>
        <w:t>推动脱贫攻坚工作更加有效开展，于2018年制定《中共中央国务院关于打赢脱贫攻坚三年行动的指导意见》（中发〔2018〕16号），结合我省实际提出《中共山西省委 山西省人民政府关于坚决打赢全省脱贫攻坚战三年行动的实施意见》（晋发〔2018〕21号），从完善顶层设计、强化政策措施和加强统筹协调等方面，为我省今后三年脱贫攻坚工作制定了“路线图”和“时间表”，</w:t>
      </w:r>
      <w:bookmarkStart w:id="51" w:name="_GoBack"/>
      <w:bookmarkEnd w:id="51"/>
      <w:r>
        <w:rPr>
          <w:rFonts w:hint="eastAsia"/>
        </w:rPr>
        <w:t>是决战决胜今后三年脱贫攻坚战的纲领性文件。</w:t>
      </w:r>
    </w:p>
    <w:p>
      <w:pPr>
        <w:bidi w:val="0"/>
      </w:pPr>
      <w:r>
        <w:rPr>
          <w:rFonts w:hint="eastAsia"/>
        </w:rPr>
        <w:t>深入贯彻落实山西省人民政府《关于推进涉农资金统筹整合的实施意见》（晋政发〔2018〕31号）</w:t>
      </w:r>
      <w:r>
        <w:rPr>
          <w:rFonts w:hint="eastAsia"/>
          <w:lang w:eastAsia="zh-CN"/>
        </w:rPr>
        <w:t>、</w:t>
      </w:r>
      <w:r>
        <w:rPr>
          <w:rFonts w:hint="eastAsia"/>
        </w:rPr>
        <w:t>山西省脱贫攻坚领导小组《关于进一步做好贫困县统筹整合使用财政资金实施精准扶贫工作的通知》（晋脱贫攻坚组〔2019〕9号）及忻州市人民政府《关于印发忻州市推进涉农资金统筹整合实施方案的通知》（忻政办发〔2018〕152号）</w:t>
      </w:r>
      <w:r>
        <w:rPr>
          <w:rFonts w:hint="eastAsia"/>
          <w:lang w:val="en-US" w:eastAsia="zh-CN"/>
        </w:rPr>
        <w:t>文件精神</w:t>
      </w:r>
      <w:r>
        <w:rPr>
          <w:rFonts w:hint="eastAsia"/>
        </w:rPr>
        <w:t>,创新体制机制,切实发挥涉农资金统筹整合作用,打赢全县脱贫攻坚战,根据脱贫攻坚需要,对年初方案中的项目资金预算安排进行调整,制定《宁武县2020年统筹整合使用财政资金开展脱贫攻坚调整实施方案》（宁脱贫攻坚部〔2020〕20号），明确指出统筹整合使用财政资金范围为中央资金17项、省级资金56项、市县安排的与中央、省纳入整合目录对应的配套资金,主要包括:财政专项扶贫资金,中央彩票公益金支持革命老区脱贫攻坚资金,农业、林业、水利、教育、国土、住建、交通、环保、卫计等行业部门指导性任务资金。2020年统筹整合用于脱贫攻坚的财政涉农资金预算投入总规模为34</w:t>
      </w:r>
      <w:r>
        <w:rPr>
          <w:rFonts w:hint="eastAsia"/>
          <w:lang w:val="en-US" w:eastAsia="zh-CN"/>
        </w:rPr>
        <w:t>,</w:t>
      </w:r>
      <w:r>
        <w:rPr>
          <w:rFonts w:hint="eastAsia"/>
        </w:rPr>
        <w:t>572.17万元,其中:中央专项扶贫资金11</w:t>
      </w:r>
      <w:r>
        <w:rPr>
          <w:rFonts w:hint="eastAsia"/>
          <w:lang w:val="en-US" w:eastAsia="zh-CN"/>
        </w:rPr>
        <w:t>,</w:t>
      </w:r>
      <w:r>
        <w:rPr>
          <w:rFonts w:hint="eastAsia"/>
        </w:rPr>
        <w:t>179.8万元,中央彩票公益金支持革命老区脱贫攻坚资金1</w:t>
      </w:r>
      <w:r>
        <w:rPr>
          <w:rFonts w:hint="eastAsia"/>
          <w:lang w:val="en-US" w:eastAsia="zh-CN"/>
        </w:rPr>
        <w:t>,</w:t>
      </w:r>
      <w:r>
        <w:rPr>
          <w:rFonts w:hint="eastAsia"/>
        </w:rPr>
        <w:t>000万元,省级专项扶贫资金573.6万元,市级专项扶贫资金1</w:t>
      </w:r>
      <w:r>
        <w:rPr>
          <w:rFonts w:hint="eastAsia"/>
          <w:lang w:val="en-US" w:eastAsia="zh-CN"/>
        </w:rPr>
        <w:t>,</w:t>
      </w:r>
      <w:r>
        <w:rPr>
          <w:rFonts w:hint="eastAsia"/>
        </w:rPr>
        <w:t>031.4万元,县级专项扶贫资金5</w:t>
      </w:r>
      <w:r>
        <w:rPr>
          <w:rFonts w:hint="eastAsia"/>
          <w:lang w:val="en-US" w:eastAsia="zh-CN"/>
        </w:rPr>
        <w:t>,</w:t>
      </w:r>
      <w:r>
        <w:rPr>
          <w:rFonts w:hint="eastAsia"/>
        </w:rPr>
        <w:t>500万元,部门整合资金15</w:t>
      </w:r>
      <w:r>
        <w:rPr>
          <w:rFonts w:hint="eastAsia"/>
          <w:lang w:val="en-US" w:eastAsia="zh-CN"/>
        </w:rPr>
        <w:t>,</w:t>
      </w:r>
      <w:r>
        <w:rPr>
          <w:rFonts w:hint="eastAsia"/>
        </w:rPr>
        <w:t>287.37万元。</w:t>
      </w:r>
    </w:p>
    <w:p>
      <w:pPr>
        <w:bidi w:val="0"/>
        <w:rPr>
          <w:rFonts w:hint="eastAsia"/>
          <w:lang w:val="en-US" w:eastAsia="zh-CN"/>
        </w:rPr>
      </w:pPr>
      <w:r>
        <w:rPr>
          <w:rFonts w:hint="eastAsia"/>
        </w:rPr>
        <w:t>宁武县</w:t>
      </w:r>
      <w:r>
        <w:rPr>
          <w:rFonts w:hint="eastAsia"/>
          <w:lang w:val="en-US" w:eastAsia="zh-CN"/>
        </w:rPr>
        <w:t>石家庄镇人民政府2020年</w:t>
      </w:r>
      <w:r>
        <w:rPr>
          <w:rFonts w:hint="eastAsia"/>
        </w:rPr>
        <w:t>统筹整合财政资金</w:t>
      </w:r>
      <w:r>
        <w:rPr>
          <w:rFonts w:hint="eastAsia"/>
          <w:lang w:val="en-US" w:eastAsia="zh-CN"/>
        </w:rPr>
        <w:t>128.47</w:t>
      </w:r>
      <w:r>
        <w:rPr>
          <w:rFonts w:hint="eastAsia"/>
        </w:rPr>
        <w:t>万元，主要用于</w:t>
      </w:r>
      <w:r>
        <w:rPr>
          <w:rFonts w:hint="eastAsia"/>
          <w:lang w:val="en-US" w:eastAsia="zh-CN"/>
        </w:rPr>
        <w:t>石家庄镇食用菌种植大棚建设项目工程尾款。</w:t>
      </w:r>
    </w:p>
    <w:p>
      <w:pPr>
        <w:pStyle w:val="6"/>
        <w:bidi w:val="0"/>
        <w:rPr>
          <w:rFonts w:hint="eastAsia" w:ascii="仿宋_GB2312" w:hAnsi="仿宋_GB2312" w:eastAsia="楷体_GB2312" w:cstheme="minorBidi"/>
          <w:b w:val="0"/>
          <w:kern w:val="2"/>
          <w:sz w:val="28"/>
          <w:szCs w:val="24"/>
          <w:lang w:val="en-US" w:eastAsia="zh-CN" w:bidi="ar-SA"/>
        </w:rPr>
      </w:pPr>
      <w:bookmarkStart w:id="17" w:name="_Toc16737"/>
      <w:r>
        <w:rPr>
          <w:rFonts w:hint="eastAsia" w:ascii="仿宋_GB2312" w:hAnsi="仿宋_GB2312" w:eastAsia="楷体_GB2312" w:cstheme="minorBidi"/>
          <w:b w:val="0"/>
          <w:kern w:val="2"/>
          <w:sz w:val="28"/>
          <w:szCs w:val="24"/>
          <w:lang w:val="en-US" w:eastAsia="zh-CN" w:bidi="ar-SA"/>
        </w:rPr>
        <w:t>（二）主要内容及实施情况</w:t>
      </w:r>
    </w:p>
    <w:p>
      <w:pPr>
        <w:bidi w:val="0"/>
        <w:rPr>
          <w:rFonts w:hint="eastAsia"/>
          <w:lang w:val="en-US" w:eastAsia="zh-CN"/>
        </w:rPr>
      </w:pPr>
      <w:r>
        <w:rPr>
          <w:rFonts w:hint="eastAsia"/>
          <w:lang w:val="en-US" w:eastAsia="zh-CN"/>
        </w:rPr>
        <w:t>石家庄镇食用菌种植大棚建设项目由宁武县石家庄镇人民政府2019年6月份开始建设，该项目分为主体工程、附属工程、其它工程三部分。</w:t>
      </w:r>
    </w:p>
    <w:p>
      <w:pPr>
        <w:bidi w:val="0"/>
        <w:rPr>
          <w:rFonts w:hint="eastAsia"/>
          <w:lang w:val="en-US" w:eastAsia="zh-CN"/>
        </w:rPr>
      </w:pPr>
      <w:r>
        <w:rPr>
          <w:rFonts w:hint="eastAsia"/>
          <w:lang w:val="en-US" w:eastAsia="zh-CN"/>
        </w:rPr>
        <w:t>（1）主体工程。由山西省浩洋建筑工程有限公司中标承建，监理单位为山西省大诚工程项目管理有限公司，工程内容包括：建设食用菌大棚60座，场地挖填平整，菌棒架，棚内地面铺砖，供水系统、电控系统、排水渠、300平方米冷库、办公用房167平方米建设。</w:t>
      </w:r>
    </w:p>
    <w:p>
      <w:pPr>
        <w:bidi w:val="0"/>
        <w:rPr>
          <w:rFonts w:hint="eastAsia"/>
          <w:lang w:val="en-US" w:eastAsia="zh-CN"/>
        </w:rPr>
      </w:pPr>
      <w:r>
        <w:rPr>
          <w:rFonts w:hint="eastAsia"/>
          <w:lang w:val="en-US" w:eastAsia="zh-CN"/>
        </w:rPr>
        <w:t>（2）附属工程。由山西九鼎建筑工程有限公司承建，山西大诚工程项目管理有限公司负责工程监理，工程内容包括：挡土坝墙、围栏、围墙、园区道路、园区门楼、烘干房、干菇仓库、水井泵房、变频设备管涵、大棚加固改造。</w:t>
      </w:r>
    </w:p>
    <w:p>
      <w:pPr>
        <w:bidi w:val="0"/>
        <w:rPr>
          <w:rFonts w:hint="default"/>
          <w:lang w:val="en-US" w:eastAsia="zh-CN"/>
        </w:rPr>
      </w:pPr>
      <w:r>
        <w:rPr>
          <w:rFonts w:hint="eastAsia"/>
          <w:lang w:val="en-US" w:eastAsia="zh-CN"/>
        </w:rPr>
        <w:t>（3）其它工程。架电工程由山西九鼎建筑工程有限公司承建，新建250KVA变台一座，新建线路200米。打井工程由山西文昱建筑工程有限公司承建，打井深度：198米。</w:t>
      </w:r>
    </w:p>
    <w:bookmarkEnd w:id="17"/>
    <w:p>
      <w:pPr>
        <w:pStyle w:val="5"/>
        <w:bidi w:val="0"/>
      </w:pPr>
      <w:bookmarkStart w:id="18" w:name="_Toc28741"/>
      <w:r>
        <w:rPr>
          <w:rFonts w:hint="eastAsia"/>
          <w:lang w:val="en-US" w:eastAsia="zh-CN"/>
        </w:rPr>
        <w:t>（三）项目资金投入和使用情况</w:t>
      </w:r>
      <w:bookmarkEnd w:id="18"/>
    </w:p>
    <w:p>
      <w:pPr>
        <w:pStyle w:val="6"/>
        <w:bidi w:val="0"/>
        <w:rPr>
          <w:rFonts w:hint="eastAsia"/>
          <w:lang w:val="en-US" w:eastAsia="zh-CN"/>
        </w:rPr>
      </w:pPr>
      <w:r>
        <w:rPr>
          <w:rFonts w:hint="eastAsia"/>
          <w:lang w:val="en-US" w:eastAsia="zh-CN"/>
        </w:rPr>
        <w:t>1.资金投入情况</w:t>
      </w:r>
    </w:p>
    <w:p>
      <w:pPr>
        <w:rPr>
          <w:rFonts w:hint="default"/>
          <w:lang w:val="en-US" w:eastAsia="zh-CN"/>
        </w:rPr>
      </w:pPr>
      <w:r>
        <w:rPr>
          <w:rFonts w:hint="eastAsia"/>
        </w:rPr>
        <w:t>宁武县</w:t>
      </w:r>
      <w:r>
        <w:rPr>
          <w:rFonts w:hint="eastAsia"/>
          <w:lang w:val="en-US" w:eastAsia="zh-CN"/>
        </w:rPr>
        <w:t>石家庄镇人民政府2020年</w:t>
      </w:r>
      <w:r>
        <w:rPr>
          <w:rFonts w:hint="eastAsia"/>
        </w:rPr>
        <w:t>统筹整合财政资金</w:t>
      </w:r>
      <w:r>
        <w:rPr>
          <w:rFonts w:hint="eastAsia"/>
          <w:lang w:val="en-US" w:eastAsia="zh-CN"/>
        </w:rPr>
        <w:t>128.47</w:t>
      </w:r>
      <w:r>
        <w:rPr>
          <w:rFonts w:hint="eastAsia"/>
        </w:rPr>
        <w:t>万元，主要用于</w:t>
      </w:r>
      <w:r>
        <w:rPr>
          <w:rFonts w:hint="eastAsia"/>
          <w:lang w:val="en-US" w:eastAsia="zh-CN"/>
        </w:rPr>
        <w:t>石家庄镇食用菌种植大棚建设项目工程尾款，截至2020年12月31日，资金全部到位。</w:t>
      </w:r>
    </w:p>
    <w:p>
      <w:pPr>
        <w:pStyle w:val="6"/>
        <w:bidi w:val="0"/>
        <w:rPr>
          <w:rFonts w:hint="eastAsia"/>
          <w:lang w:val="en-US" w:eastAsia="zh-CN"/>
        </w:rPr>
      </w:pPr>
      <w:r>
        <w:rPr>
          <w:rFonts w:hint="eastAsia"/>
          <w:lang w:val="en-US" w:eastAsia="zh-CN"/>
        </w:rPr>
        <w:t>2.资金使用情况</w:t>
      </w:r>
    </w:p>
    <w:p>
      <w:pPr>
        <w:rPr>
          <w:rFonts w:hint="eastAsia"/>
          <w:lang w:val="en-US" w:eastAsia="zh-CN"/>
        </w:rPr>
      </w:pPr>
      <w:r>
        <w:rPr>
          <w:rFonts w:hint="eastAsia"/>
          <w:lang w:val="en-US" w:eastAsia="zh-CN"/>
        </w:rPr>
        <w:t>宁武县石家庄镇人民政府2020年统筹整合财政资金128.47万元，截至评价基准日（2020年12月31日）实际支出109.353174万元，结余19.116826万元。</w:t>
      </w:r>
    </w:p>
    <w:p>
      <w:pPr>
        <w:pStyle w:val="5"/>
        <w:ind w:firstLine="560"/>
      </w:pPr>
      <w:bookmarkStart w:id="19" w:name="_Toc5335"/>
      <w:bookmarkStart w:id="20" w:name="_Toc11737"/>
      <w:r>
        <w:rPr>
          <w:rFonts w:hint="eastAsia"/>
          <w:lang w:eastAsia="zh-CN"/>
        </w:rPr>
        <w:t>（</w:t>
      </w:r>
      <w:r>
        <w:rPr>
          <w:rFonts w:hint="eastAsia"/>
          <w:lang w:val="en-US" w:eastAsia="zh-CN"/>
        </w:rPr>
        <w:t>四</w:t>
      </w:r>
      <w:r>
        <w:rPr>
          <w:rFonts w:hint="eastAsia"/>
          <w:lang w:eastAsia="zh-CN"/>
        </w:rPr>
        <w:t>）</w:t>
      </w:r>
      <w:r>
        <w:rPr>
          <w:rFonts w:hint="eastAsia"/>
        </w:rPr>
        <w:t>项目绩效目标</w:t>
      </w:r>
      <w:bookmarkEnd w:id="19"/>
      <w:bookmarkEnd w:id="20"/>
      <w:r>
        <w:rPr>
          <w:rFonts w:hint="eastAsia"/>
        </w:rPr>
        <w:tab/>
      </w:r>
    </w:p>
    <w:p>
      <w:pPr>
        <w:pStyle w:val="6"/>
        <w:bidi w:val="0"/>
        <w:rPr>
          <w:rFonts w:hint="default"/>
          <w:lang w:val="en-US" w:eastAsia="zh-CN"/>
        </w:rPr>
      </w:pPr>
      <w:r>
        <w:rPr>
          <w:rFonts w:hint="eastAsia"/>
          <w:lang w:val="en-US" w:eastAsia="zh-CN"/>
        </w:rPr>
        <w:t>1.总体目标</w:t>
      </w:r>
    </w:p>
    <w:p>
      <w:pPr>
        <w:bidi w:val="0"/>
        <w:rPr>
          <w:rFonts w:hint="default"/>
          <w:lang w:val="en-US" w:eastAsia="zh-CN"/>
        </w:rPr>
      </w:pPr>
      <w:r>
        <w:rPr>
          <w:rFonts w:hint="eastAsia"/>
          <w:lang w:val="en-US" w:eastAsia="zh-CN"/>
        </w:rPr>
        <w:t>新建大棚60座，场地“三通一平”；配套建设办公用房、深井、供水系统、高低压供电系统、仓库、烘干房、冷库。计划投放菌棒60万棒，每个大棚年收益2万元，带动70户贫困户增收，每户年均增收2,300元。带动当地农业产业结构发展，拓宽了贫困户的就业渠道，给当地贫困户带来更大的收益。</w:t>
      </w:r>
    </w:p>
    <w:p>
      <w:pPr>
        <w:pStyle w:val="6"/>
        <w:bidi w:val="0"/>
        <w:rPr>
          <w:rFonts w:hint="default"/>
          <w:lang w:val="en-US" w:eastAsia="zh-CN"/>
        </w:rPr>
      </w:pPr>
      <w:r>
        <w:rPr>
          <w:rFonts w:hint="eastAsia"/>
          <w:lang w:val="en-US" w:eastAsia="zh-CN"/>
        </w:rPr>
        <w:t>2.具体目标</w:t>
      </w:r>
    </w:p>
    <w:p>
      <w:pPr>
        <w:bidi w:val="0"/>
        <w:rPr>
          <w:rFonts w:hint="eastAsia"/>
          <w:lang w:val="en-US" w:eastAsia="zh-CN"/>
        </w:rPr>
      </w:pPr>
      <w:r>
        <w:rPr>
          <w:rFonts w:hint="eastAsia"/>
          <w:lang w:val="en-US" w:eastAsia="zh-CN"/>
        </w:rPr>
        <w:t>石家庄镇食用菌项目建设应该按期完成，场地“三通一平”（200米深井及供水系统、高低压供电系统、园区及办公区场地垫层及围栏），工程按规定进行验收，质量要保证合格。项目实施后，带动贫困户增收人数要达到预期值；要在一定程度上推动农业产业结构调整的发展；对周围农户就业的渠道要有所增加；食用菌菌棒残渣后期要进行处理、重新利用；</w:t>
      </w:r>
      <w:r>
        <w:rPr>
          <w:rFonts w:hint="eastAsia"/>
        </w:rPr>
        <w:t>项目后期建立管护制度，且执行有效；受益群众满意度达90%以上。</w:t>
      </w:r>
      <w:r>
        <w:rPr>
          <w:rFonts w:hint="eastAsia"/>
          <w:lang w:val="en-US" w:eastAsia="zh-CN"/>
        </w:rPr>
        <w:t>具体目标情况见表1-1。</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hint="default" w:eastAsia="宋体"/>
          <w:lang w:val="en-US" w:eastAsia="zh-CN"/>
        </w:rPr>
      </w:pPr>
      <w:r>
        <w:rPr>
          <w:rFonts w:hint="eastAsia" w:ascii="宋体" w:hAnsi="宋体" w:eastAsia="宋体" w:cstheme="majorBidi"/>
          <w:bCs/>
          <w:szCs w:val="28"/>
        </w:rPr>
        <w:t>表</w:t>
      </w:r>
      <w:r>
        <w:rPr>
          <w:rFonts w:hint="eastAsia" w:ascii="宋体" w:hAnsi="宋体" w:eastAsia="宋体" w:cstheme="majorBidi"/>
          <w:bCs/>
          <w:szCs w:val="28"/>
          <w:lang w:val="en-US" w:eastAsia="zh-CN"/>
        </w:rPr>
        <w:t>1</w:t>
      </w:r>
      <w:r>
        <w:rPr>
          <w:rFonts w:hint="eastAsia" w:ascii="宋体" w:hAnsi="宋体" w:eastAsia="宋体" w:cstheme="majorBidi"/>
          <w:bCs/>
          <w:szCs w:val="28"/>
        </w:rPr>
        <w:t xml:space="preserve">-1 </w:t>
      </w:r>
      <w:r>
        <w:rPr>
          <w:rFonts w:hint="eastAsia" w:ascii="宋体" w:hAnsi="宋体" w:eastAsia="宋体" w:cstheme="majorBidi"/>
          <w:bCs/>
          <w:szCs w:val="28"/>
          <w:lang w:val="en-US" w:eastAsia="zh-CN"/>
        </w:rPr>
        <w:t>项目具体目标情况</w:t>
      </w:r>
    </w:p>
    <w:tbl>
      <w:tblPr>
        <w:tblStyle w:val="13"/>
        <w:tblW w:w="4998" w:type="pct"/>
        <w:tblInd w:w="0" w:type="dxa"/>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autofit"/>
        <w:tblCellMar>
          <w:top w:w="0" w:type="dxa"/>
          <w:left w:w="0" w:type="dxa"/>
          <w:bottom w:w="0" w:type="dxa"/>
          <w:right w:w="0" w:type="dxa"/>
        </w:tblCellMar>
      </w:tblPr>
      <w:tblGrid>
        <w:gridCol w:w="2557"/>
        <w:gridCol w:w="4519"/>
        <w:gridCol w:w="1898"/>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PrEx>
        <w:trPr>
          <w:trHeight w:val="510" w:hRule="atLeast"/>
          <w:tblHeader/>
        </w:trPr>
        <w:tc>
          <w:tcPr>
            <w:tcW w:w="1425"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目标类型</w:t>
            </w:r>
          </w:p>
        </w:tc>
        <w:tc>
          <w:tcPr>
            <w:tcW w:w="2517"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目标名称</w:t>
            </w:r>
          </w:p>
        </w:tc>
        <w:tc>
          <w:tcPr>
            <w:tcW w:w="1057" w:type="pct"/>
            <w:tcBorders>
              <w:tl2br w:val="nil"/>
              <w:tr2bl w:val="nil"/>
            </w:tcBorders>
            <w:shd w:val="clear" w:color="auto" w:fill="BEBEBE" w:themeFill="background1" w:themeFillShade="BF"/>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目标值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实际完成率</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bidi="ar"/>
              </w:rPr>
              <w:t>主体</w:t>
            </w:r>
            <w:r>
              <w:rPr>
                <w:rFonts w:hint="eastAsia" w:ascii="宋体" w:hAnsi="宋体" w:eastAsia="宋体" w:cs="宋体"/>
                <w:color w:val="000000"/>
                <w:kern w:val="0"/>
                <w:sz w:val="24"/>
                <w:szCs w:val="24"/>
                <w:lang w:bidi="ar"/>
              </w:rPr>
              <w:t>工程完成</w:t>
            </w:r>
            <w:r>
              <w:rPr>
                <w:rFonts w:hint="eastAsia" w:ascii="宋体" w:hAnsi="宋体" w:eastAsia="宋体" w:cs="宋体"/>
                <w:color w:val="000000"/>
                <w:kern w:val="0"/>
                <w:sz w:val="24"/>
                <w:szCs w:val="24"/>
                <w:lang w:val="en-US" w:eastAsia="zh-CN" w:bidi="ar"/>
              </w:rPr>
              <w:t>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配套</w:t>
            </w:r>
            <w:r>
              <w:rPr>
                <w:rFonts w:hint="eastAsia" w:ascii="宋体" w:hAnsi="宋体" w:eastAsia="宋体" w:cs="宋体"/>
                <w:color w:val="000000"/>
                <w:kern w:val="0"/>
                <w:sz w:val="24"/>
                <w:szCs w:val="24"/>
                <w:lang w:bidi="ar"/>
              </w:rPr>
              <w:t>工程完成</w:t>
            </w:r>
            <w:r>
              <w:rPr>
                <w:rFonts w:hint="eastAsia" w:ascii="宋体" w:hAnsi="宋体" w:eastAsia="宋体" w:cs="宋体"/>
                <w:color w:val="000000"/>
                <w:kern w:val="0"/>
                <w:sz w:val="24"/>
                <w:szCs w:val="24"/>
                <w:lang w:val="en-US" w:eastAsia="zh-CN" w:bidi="ar"/>
              </w:rPr>
              <w:t>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其他</w:t>
            </w:r>
            <w:r>
              <w:rPr>
                <w:rFonts w:hint="eastAsia" w:ascii="宋体" w:hAnsi="宋体" w:eastAsia="宋体" w:cs="宋体"/>
                <w:color w:val="000000"/>
                <w:kern w:val="0"/>
                <w:sz w:val="24"/>
                <w:szCs w:val="24"/>
                <w:lang w:bidi="ar"/>
              </w:rPr>
              <w:t>工程完成</w:t>
            </w:r>
            <w:r>
              <w:rPr>
                <w:rFonts w:hint="eastAsia" w:ascii="宋体" w:hAnsi="宋体" w:eastAsia="宋体" w:cs="宋体"/>
                <w:color w:val="000000"/>
                <w:kern w:val="0"/>
                <w:sz w:val="24"/>
                <w:szCs w:val="24"/>
                <w:lang w:val="en-US" w:eastAsia="zh-CN" w:bidi="ar"/>
              </w:rPr>
              <w:t>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完成及时性</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项目完成及时率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质量达标率</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质量达标率</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经济效益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
              </w:rPr>
              <w:t>带动贫困户增收</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社会效益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推动农业产业结构调整</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vMerge w:val="continue"/>
            <w:tcBorders>
              <w:tl2br w:val="nil"/>
              <w:tr2bl w:val="nil"/>
            </w:tcBorders>
            <w:shd w:val="clear" w:color="auto" w:fill="auto"/>
            <w:tcMar>
              <w:top w:w="10" w:type="dxa"/>
              <w:left w:w="10" w:type="dxa"/>
              <w:right w:w="10" w:type="dxa"/>
            </w:tcMar>
            <w:vAlign w:val="center"/>
          </w:tcPr>
          <w:p>
            <w:pPr>
              <w:jc w:val="center"/>
              <w:rPr>
                <w:rFonts w:ascii="宋体" w:hAnsi="宋体" w:eastAsia="宋体" w:cs="宋体"/>
                <w:color w:val="000000"/>
                <w:sz w:val="24"/>
                <w:szCs w:val="24"/>
              </w:rPr>
            </w:pP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拓宽就业渠道</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生态效益</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带动废弃物合理化利用</w:t>
            </w:r>
          </w:p>
        </w:tc>
        <w:tc>
          <w:tcPr>
            <w:tcW w:w="105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可持续影响</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管护主体责任落实率</w:t>
            </w:r>
          </w:p>
        </w:tc>
        <w:tc>
          <w:tcPr>
            <w:tcW w:w="1057" w:type="pct"/>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效果明显</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425"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群众满意度</w:t>
            </w:r>
          </w:p>
        </w:tc>
        <w:tc>
          <w:tcPr>
            <w:tcW w:w="2517" w:type="pc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受益群众满意度</w:t>
            </w:r>
          </w:p>
        </w:tc>
        <w:tc>
          <w:tcPr>
            <w:tcW w:w="1057" w:type="pct"/>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≥90%</w:t>
            </w:r>
          </w:p>
        </w:tc>
      </w:tr>
    </w:tbl>
    <w:p>
      <w:pPr>
        <w:pStyle w:val="4"/>
        <w:keepNext/>
        <w:keepLines/>
        <w:pageBreakBefore w:val="0"/>
        <w:widowControl w:val="0"/>
        <w:kinsoku/>
        <w:wordWrap/>
        <w:overflowPunct/>
        <w:topLinePunct w:val="0"/>
        <w:autoSpaceDE/>
        <w:autoSpaceDN/>
        <w:bidi w:val="0"/>
        <w:adjustRightInd/>
        <w:snapToGrid/>
        <w:spacing w:before="157" w:beforeLines="50"/>
        <w:ind w:firstLine="560"/>
        <w:textAlignment w:val="auto"/>
      </w:pPr>
      <w:bookmarkStart w:id="21" w:name="_Toc16303"/>
      <w:bookmarkStart w:id="22" w:name="_Toc15551"/>
      <w:r>
        <w:rPr>
          <w:rFonts w:hint="eastAsia"/>
        </w:rPr>
        <w:t>二、绩效评价工作</w:t>
      </w:r>
      <w:r>
        <w:rPr>
          <w:rFonts w:hint="eastAsia"/>
          <w:lang w:val="en-US" w:eastAsia="zh-CN"/>
        </w:rPr>
        <w:t>开展</w:t>
      </w:r>
      <w:r>
        <w:rPr>
          <w:rFonts w:hint="eastAsia"/>
        </w:rPr>
        <w:t>情况</w:t>
      </w:r>
      <w:bookmarkEnd w:id="21"/>
      <w:bookmarkEnd w:id="22"/>
    </w:p>
    <w:p>
      <w:pPr>
        <w:pStyle w:val="5"/>
        <w:bidi w:val="0"/>
      </w:pPr>
      <w:bookmarkStart w:id="23" w:name="_Toc30215"/>
      <w:bookmarkStart w:id="24" w:name="_Toc31132"/>
      <w:bookmarkStart w:id="25" w:name="_Toc28301"/>
      <w:r>
        <w:rPr>
          <w:rFonts w:hint="eastAsia"/>
          <w:lang w:eastAsia="zh-CN"/>
        </w:rPr>
        <w:t>（</w:t>
      </w:r>
      <w:r>
        <w:rPr>
          <w:rFonts w:hint="eastAsia"/>
          <w:lang w:val="en-US" w:eastAsia="zh-CN"/>
        </w:rPr>
        <w:t>一</w:t>
      </w:r>
      <w:r>
        <w:rPr>
          <w:rFonts w:hint="eastAsia"/>
          <w:lang w:eastAsia="zh-CN"/>
        </w:rPr>
        <w:t>）</w:t>
      </w:r>
      <w:r>
        <w:rPr>
          <w:rFonts w:hint="eastAsia"/>
        </w:rPr>
        <w:t>评价目的</w:t>
      </w:r>
      <w:bookmarkEnd w:id="23"/>
      <w:bookmarkEnd w:id="24"/>
    </w:p>
    <w:p>
      <w:pPr>
        <w:bidi w:val="0"/>
        <w:rPr>
          <w:rFonts w:hint="eastAsia"/>
        </w:rPr>
      </w:pPr>
      <w:r>
        <w:rPr>
          <w:rFonts w:hint="eastAsia"/>
          <w:lang w:val="en-US" w:eastAsia="zh-CN"/>
        </w:rPr>
        <w:t>通过预算绩效评价，及时发现问题，总结经验，提出改进意见。一是为政府相关决策及下一年度预算安排提供可行性参考建议。为财政部门加强财政支出管理，强化支出责任，科学配置资源，提高财政资金的使用效益；二是为主管单位掌握项目动态、优化项目信息反馈机制、加强项目监管，进一步修改完善宁武县石家庄镇人民政府统筹整合财政资金项目提供参考。</w:t>
      </w:r>
    </w:p>
    <w:p>
      <w:pPr>
        <w:pStyle w:val="5"/>
        <w:bidi w:val="0"/>
        <w:rPr>
          <w:rFonts w:hint="eastAsia"/>
        </w:rPr>
      </w:pPr>
      <w:bookmarkStart w:id="26" w:name="_Toc11417"/>
      <w:bookmarkStart w:id="27" w:name="_Toc1273"/>
      <w:r>
        <w:rPr>
          <w:rFonts w:hint="eastAsia"/>
          <w:lang w:eastAsia="zh-CN"/>
        </w:rPr>
        <w:t>（</w:t>
      </w:r>
      <w:r>
        <w:rPr>
          <w:rFonts w:hint="eastAsia"/>
          <w:lang w:val="en-US" w:eastAsia="zh-CN"/>
        </w:rPr>
        <w:t>二</w:t>
      </w:r>
      <w:r>
        <w:rPr>
          <w:rFonts w:hint="eastAsia"/>
          <w:lang w:eastAsia="zh-CN"/>
        </w:rPr>
        <w:t>）</w:t>
      </w:r>
      <w:bookmarkEnd w:id="26"/>
      <w:bookmarkEnd w:id="27"/>
      <w:r>
        <w:rPr>
          <w:rFonts w:hint="eastAsia"/>
        </w:rPr>
        <w:t>评价对象</w:t>
      </w:r>
      <w:r>
        <w:rPr>
          <w:rFonts w:hint="eastAsia"/>
          <w:lang w:val="en-US" w:eastAsia="zh-CN"/>
        </w:rPr>
        <w:t>和</w:t>
      </w:r>
      <w:r>
        <w:rPr>
          <w:rFonts w:hint="eastAsia"/>
        </w:rPr>
        <w:t>范围</w:t>
      </w:r>
    </w:p>
    <w:bookmarkEnd w:id="25"/>
    <w:p>
      <w:pPr>
        <w:bidi w:val="0"/>
      </w:pPr>
      <w:r>
        <w:rPr>
          <w:rFonts w:hint="eastAsia"/>
        </w:rPr>
        <w:t>本次绩效评价的对象是宁武县</w:t>
      </w:r>
      <w:r>
        <w:rPr>
          <w:rFonts w:hint="eastAsia"/>
          <w:lang w:val="en-US" w:eastAsia="zh-CN"/>
        </w:rPr>
        <w:t>石家庄镇人民政府2020年</w:t>
      </w:r>
      <w:r>
        <w:rPr>
          <w:rFonts w:hint="eastAsia"/>
        </w:rPr>
        <w:t>统筹整合财政资金</w:t>
      </w:r>
      <w:r>
        <w:rPr>
          <w:rFonts w:hint="eastAsia"/>
          <w:lang w:val="en-US" w:eastAsia="zh-CN"/>
        </w:rPr>
        <w:t>109.353174</w:t>
      </w:r>
      <w:r>
        <w:rPr>
          <w:rFonts w:hint="eastAsia"/>
        </w:rPr>
        <w:t>万元</w:t>
      </w:r>
      <w:r>
        <w:rPr>
          <w:rFonts w:hint="eastAsia"/>
          <w:lang w:eastAsia="zh-CN"/>
        </w:rPr>
        <w:t>。</w:t>
      </w:r>
      <w:r>
        <w:rPr>
          <w:rFonts w:hint="eastAsia"/>
        </w:rPr>
        <w:t>与此同时，对财政资金的监督、管理使用进行评价，根据评价结果，提出相关政策性意见。</w:t>
      </w:r>
    </w:p>
    <w:p>
      <w:pPr>
        <w:bidi w:val="0"/>
        <w:rPr>
          <w:rFonts w:hint="eastAsia"/>
        </w:rPr>
      </w:pPr>
      <w:r>
        <w:rPr>
          <w:rFonts w:hint="eastAsia"/>
        </w:rPr>
        <w:t>绩效评价范围为宁武县</w:t>
      </w:r>
      <w:r>
        <w:rPr>
          <w:rFonts w:hint="eastAsia"/>
          <w:lang w:val="en-US" w:eastAsia="zh-CN"/>
        </w:rPr>
        <w:t>石家庄镇人民政府2020年</w:t>
      </w:r>
      <w:r>
        <w:rPr>
          <w:rFonts w:hint="eastAsia"/>
        </w:rPr>
        <w:t>统筹整合财政资金产生的绩效以及为产生绩效所经历的各环节过程，具体绩效评价范围包括项目决策、过程、产出、效益。</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left"/>
        <w:textAlignment w:val="auto"/>
        <w:outlineLvl w:val="1"/>
        <w:rPr>
          <w:rFonts w:hint="default" w:ascii="楷体_GB2312" w:hAnsi="楷体_GB2312" w:eastAsia="楷体_GB2312" w:cs="楷体_GB2312"/>
          <w:i w:val="0"/>
          <w:iCs w:val="0"/>
          <w:caps w:val="0"/>
          <w:color w:val="000000"/>
          <w:spacing w:val="0"/>
          <w:sz w:val="28"/>
          <w:szCs w:val="27"/>
          <w:highlight w:val="none"/>
          <w:lang w:val="en-US" w:eastAsia="zh-CN"/>
        </w:rPr>
      </w:pPr>
      <w:bookmarkStart w:id="28" w:name="_Toc24305"/>
      <w:r>
        <w:rPr>
          <w:rFonts w:hint="eastAsia" w:ascii="楷体_GB2312" w:hAnsi="楷体_GB2312" w:eastAsia="楷体_GB2312" w:cs="楷体_GB2312"/>
          <w:i w:val="0"/>
          <w:iCs w:val="0"/>
          <w:caps w:val="0"/>
          <w:color w:val="000000"/>
          <w:spacing w:val="0"/>
          <w:sz w:val="28"/>
          <w:szCs w:val="27"/>
          <w:highlight w:val="none"/>
          <w:lang w:val="en-US" w:eastAsia="zh-CN"/>
        </w:rPr>
        <w:t>（三）评价基准日</w:t>
      </w:r>
      <w:bookmarkEnd w:id="28"/>
    </w:p>
    <w:p>
      <w:pPr>
        <w:bidi w:val="0"/>
      </w:pPr>
      <w:r>
        <w:rPr>
          <w:rFonts w:hint="eastAsia"/>
        </w:rPr>
        <w:t>评价基准日为2020年12月31日。</w:t>
      </w:r>
    </w:p>
    <w:p>
      <w:pPr>
        <w:pStyle w:val="5"/>
        <w:bidi w:val="0"/>
      </w:pPr>
      <w:bookmarkStart w:id="29" w:name="_Toc5209"/>
      <w:bookmarkStart w:id="30" w:name="_Toc20815"/>
      <w:r>
        <w:rPr>
          <w:rFonts w:hint="eastAsia"/>
          <w:lang w:eastAsia="zh-CN"/>
        </w:rPr>
        <w:t>（</w:t>
      </w:r>
      <w:r>
        <w:rPr>
          <w:rFonts w:hint="eastAsia"/>
          <w:lang w:val="en-US" w:eastAsia="zh-CN"/>
        </w:rPr>
        <w:t>四</w:t>
      </w:r>
      <w:r>
        <w:rPr>
          <w:rFonts w:hint="eastAsia"/>
          <w:lang w:eastAsia="zh-CN"/>
        </w:rPr>
        <w:t>）</w:t>
      </w:r>
      <w:r>
        <w:rPr>
          <w:rFonts w:hint="eastAsia"/>
        </w:rPr>
        <w:t>绩效评价指标体系</w:t>
      </w:r>
      <w:bookmarkEnd w:id="29"/>
      <w:bookmarkEnd w:id="30"/>
      <w:r>
        <w:rPr>
          <w:rFonts w:hint="eastAsia"/>
        </w:rPr>
        <w:tab/>
      </w:r>
    </w:p>
    <w:p>
      <w:pPr>
        <w:pStyle w:val="6"/>
        <w:bidi w:val="0"/>
        <w:rPr>
          <w:rFonts w:hint="eastAsia"/>
          <w:lang w:val="en-US" w:eastAsia="zh-CN"/>
        </w:rPr>
      </w:pPr>
      <w:r>
        <w:rPr>
          <w:rFonts w:hint="eastAsia"/>
          <w:lang w:val="en-US" w:eastAsia="zh-CN"/>
        </w:rPr>
        <w:t>1.指标体系设计思路</w:t>
      </w:r>
    </w:p>
    <w:p>
      <w:pPr>
        <w:bidi w:val="0"/>
        <w:rPr>
          <w:rFonts w:hint="eastAsia"/>
          <w:lang w:val="en-US" w:eastAsia="zh-CN"/>
        </w:rPr>
      </w:pPr>
      <w:r>
        <w:rPr>
          <w:rFonts w:hint="eastAsia"/>
          <w:lang w:val="en-US" w:eastAsia="zh-CN"/>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宁武县石家庄镇人民政府的实际情况，本着全面反映宁武县石家庄镇人民政府统筹整合财政资金项目的预算绩效管理情况，本着尽可能细化、量化、可操作的原则，结合计划标准、历史标准等制定指标的目标值，兼顾相关政策内容，设计形成了宁武县石家庄镇人民政府2020年统筹整合财政资金绩效评价指标体系，从决策类（包括项目立项、绩效目标、资金投入）、过程类（包括资金管理、组织实施）、产出类（包括产出数量、产出质量、产出时效）、效益类（包括经济</w:t>
      </w:r>
      <w:r>
        <w:rPr>
          <w:rFonts w:hint="eastAsia"/>
        </w:rPr>
        <w:t>效益、</w:t>
      </w:r>
      <w:r>
        <w:rPr>
          <w:rFonts w:hint="eastAsia"/>
          <w:lang w:val="en-US" w:eastAsia="zh-CN"/>
        </w:rPr>
        <w:t>社会效益、生态效益、</w:t>
      </w:r>
      <w:r>
        <w:rPr>
          <w:rFonts w:hint="eastAsia"/>
        </w:rPr>
        <w:t>可持续影响及满意度</w:t>
      </w:r>
      <w:r>
        <w:rPr>
          <w:rFonts w:hint="eastAsia"/>
          <w:lang w:val="en-US" w:eastAsia="zh-CN"/>
        </w:rPr>
        <w:t>）四个维度进行评价。</w:t>
      </w:r>
    </w:p>
    <w:p>
      <w:pPr>
        <w:pStyle w:val="6"/>
        <w:bidi w:val="0"/>
        <w:rPr>
          <w:rFonts w:hint="eastAsia"/>
          <w:lang w:val="zh-CN" w:eastAsia="zh-CN"/>
        </w:rPr>
      </w:pPr>
      <w:r>
        <w:rPr>
          <w:rFonts w:hint="eastAsia"/>
          <w:lang w:val="en-US" w:eastAsia="zh-CN"/>
        </w:rPr>
        <w:t>2</w:t>
      </w:r>
      <w:r>
        <w:rPr>
          <w:rFonts w:hint="eastAsia"/>
          <w:lang w:val="zh-CN" w:eastAsia="zh-CN"/>
        </w:rPr>
        <w:t>.权重设计思路</w:t>
      </w:r>
    </w:p>
    <w:p>
      <w:pPr>
        <w:bidi w:val="0"/>
        <w:rPr>
          <w:rFonts w:hint="eastAsia"/>
          <w:lang w:val="en-US" w:eastAsia="zh-CN"/>
        </w:rPr>
      </w:pPr>
      <w:r>
        <w:rPr>
          <w:rFonts w:hint="eastAsia"/>
          <w:lang w:val="zh-CN" w:eastAsia="zh-CN"/>
        </w:rPr>
        <w:t>本次</w:t>
      </w:r>
      <w:r>
        <w:rPr>
          <w:rFonts w:hint="eastAsia"/>
          <w:lang w:val="en-US" w:eastAsia="zh-CN"/>
        </w:rPr>
        <w:t>绩效评价指标</w:t>
      </w:r>
      <w:r>
        <w:rPr>
          <w:rFonts w:hint="eastAsia"/>
          <w:lang w:val="zh-CN" w:eastAsia="zh-CN"/>
        </w:rPr>
        <w:t>权重设计</w:t>
      </w:r>
      <w:r>
        <w:rPr>
          <w:rFonts w:hint="eastAsia"/>
          <w:lang w:val="en-US" w:eastAsia="zh-CN"/>
        </w:rPr>
        <w:t>一级指标</w:t>
      </w:r>
      <w:r>
        <w:rPr>
          <w:rFonts w:hint="eastAsia"/>
          <w:lang w:val="zh-CN" w:eastAsia="zh-CN"/>
        </w:rPr>
        <w:t>权重设计</w:t>
      </w:r>
      <w:r>
        <w:rPr>
          <w:rFonts w:hint="eastAsia"/>
          <w:lang w:val="en-US" w:eastAsia="zh-CN"/>
        </w:rPr>
        <w:t>按照《项目支出绩效评价管理办法》（财预〔2020〕10号）中的项目支出绩效评价指标体系框架（参考）、山西省《省级项目支出绩效评价管理办法》（晋财绩〔2020〕17号）文件要求执行</w:t>
      </w:r>
      <w:r>
        <w:rPr>
          <w:rFonts w:hint="eastAsia"/>
          <w:lang w:val="zh-CN" w:eastAsia="zh-CN"/>
        </w:rPr>
        <w:t>，最终确定</w:t>
      </w:r>
      <w:r>
        <w:rPr>
          <w:rFonts w:hint="eastAsia"/>
          <w:lang w:val="en-US" w:eastAsia="zh-CN"/>
        </w:rPr>
        <w:t>决策</w:t>
      </w:r>
      <w:r>
        <w:rPr>
          <w:rFonts w:hint="eastAsia"/>
          <w:lang w:val="zh-CN" w:eastAsia="zh-CN"/>
        </w:rPr>
        <w:t>类指标权重占比</w:t>
      </w:r>
      <w:r>
        <w:rPr>
          <w:rFonts w:hint="eastAsia"/>
          <w:lang w:val="en-US" w:eastAsia="zh-CN"/>
        </w:rPr>
        <w:t>2</w:t>
      </w:r>
      <w:r>
        <w:rPr>
          <w:rFonts w:hint="eastAsia"/>
          <w:lang w:val="zh-CN" w:eastAsia="zh-CN"/>
        </w:rPr>
        <w:t>0%，过程类指标权重占比</w:t>
      </w:r>
      <w:r>
        <w:rPr>
          <w:rFonts w:hint="eastAsia"/>
          <w:lang w:val="en-US" w:eastAsia="zh-CN"/>
        </w:rPr>
        <w:t>2</w:t>
      </w:r>
      <w:r>
        <w:rPr>
          <w:rFonts w:hint="eastAsia"/>
          <w:lang w:val="zh-CN" w:eastAsia="zh-CN"/>
        </w:rPr>
        <w:t>0%，产出类指标权重占比</w:t>
      </w:r>
      <w:r>
        <w:rPr>
          <w:rFonts w:hint="eastAsia"/>
          <w:lang w:val="en-US" w:eastAsia="zh-CN"/>
        </w:rPr>
        <w:t>3</w:t>
      </w:r>
      <w:r>
        <w:rPr>
          <w:rFonts w:hint="eastAsia"/>
          <w:lang w:val="zh-CN" w:eastAsia="zh-CN"/>
        </w:rPr>
        <w:t>0%，效益类指标权重占比</w:t>
      </w:r>
      <w:r>
        <w:rPr>
          <w:rFonts w:hint="eastAsia"/>
          <w:lang w:val="en-US" w:eastAsia="zh-CN"/>
        </w:rPr>
        <w:t>3</w:t>
      </w:r>
      <w:r>
        <w:rPr>
          <w:rFonts w:hint="eastAsia"/>
          <w:lang w:val="zh-CN" w:eastAsia="zh-CN"/>
        </w:rPr>
        <w:t>0%。二、三级指标</w:t>
      </w:r>
      <w:r>
        <w:rPr>
          <w:rFonts w:hint="eastAsia"/>
          <w:lang w:val="en-US" w:eastAsia="zh-CN"/>
        </w:rPr>
        <w:t>权重分值</w:t>
      </w:r>
      <w:r>
        <w:rPr>
          <w:rFonts w:hint="eastAsia"/>
          <w:lang w:val="zh-CN" w:eastAsia="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bidi w:val="0"/>
        <w:rPr>
          <w:rFonts w:hint="eastAsia"/>
          <w:highlight w:val="none"/>
          <w:lang w:val="en-US" w:eastAsia="zh-CN"/>
        </w:rPr>
      </w:pPr>
      <w:r>
        <w:rPr>
          <w:rFonts w:hint="eastAsia"/>
          <w:highlight w:val="none"/>
          <w:lang w:val="en-US" w:eastAsia="zh-CN"/>
        </w:rPr>
        <w:t>3.指标体系具体内容</w:t>
      </w:r>
    </w:p>
    <w:p>
      <w:pPr>
        <w:ind w:firstLine="640"/>
        <w:rPr>
          <w:rFonts w:hint="eastAsia"/>
          <w:lang w:val="en-US" w:eastAsia="zh-CN"/>
        </w:rPr>
      </w:pPr>
      <w:r>
        <w:t>指标体系由</w:t>
      </w:r>
      <w:r>
        <w:rPr>
          <w:rFonts w:hint="eastAsia"/>
        </w:rPr>
        <w:t>4</w:t>
      </w:r>
      <w:r>
        <w:t>项一级指标、</w:t>
      </w:r>
      <w:r>
        <w:rPr>
          <w:rFonts w:hint="eastAsia"/>
          <w:lang w:val="en-US" w:eastAsia="zh-CN"/>
        </w:rPr>
        <w:t>13</w:t>
      </w:r>
      <w:r>
        <w:t>项二级指标、</w:t>
      </w:r>
      <w:r>
        <w:rPr>
          <w:rFonts w:hint="eastAsia"/>
          <w:lang w:val="en-US" w:eastAsia="zh-CN"/>
        </w:rPr>
        <w:t>26</w:t>
      </w:r>
      <w:r>
        <w:t>项三级指标构成。数据主要来源于政策文件、</w:t>
      </w:r>
      <w:r>
        <w:rPr>
          <w:rFonts w:hint="eastAsia"/>
        </w:rPr>
        <w:t>财经</w:t>
      </w:r>
      <w:r>
        <w:t>法规、</w:t>
      </w:r>
      <w:r>
        <w:rPr>
          <w:rFonts w:hint="eastAsia"/>
        </w:rPr>
        <w:t>单位提供相关资料</w:t>
      </w:r>
      <w:r>
        <w:t>、访谈等。</w:t>
      </w:r>
      <w:r>
        <w:rPr>
          <w:rFonts w:hint="eastAsia"/>
        </w:rPr>
        <w:t>决策</w:t>
      </w:r>
      <w:r>
        <w:rPr>
          <w:rFonts w:hint="eastAsia"/>
          <w:lang w:val="en-US" w:eastAsia="zh-CN"/>
        </w:rPr>
        <w:t>类指标</w:t>
      </w:r>
      <w:r>
        <w:rPr>
          <w:rFonts w:hint="eastAsia"/>
        </w:rPr>
        <w:t>占权重分20分，</w:t>
      </w:r>
      <w:r>
        <w:t>从</w:t>
      </w:r>
      <w:r>
        <w:rPr>
          <w:rFonts w:hint="eastAsia"/>
        </w:rPr>
        <w:t>项目立项</w:t>
      </w:r>
      <w:r>
        <w:rPr>
          <w:rFonts w:hint="eastAsia"/>
          <w:lang w:eastAsia="zh-CN"/>
        </w:rPr>
        <w:t>、</w:t>
      </w:r>
      <w:r>
        <w:rPr>
          <w:rFonts w:hint="eastAsia"/>
          <w:lang w:val="en-US" w:eastAsia="zh-CN"/>
        </w:rPr>
        <w:t>绩效目标及</w:t>
      </w:r>
      <w:r>
        <w:rPr>
          <w:rFonts w:hint="eastAsia"/>
        </w:rPr>
        <w:t>资金</w:t>
      </w:r>
      <w:r>
        <w:rPr>
          <w:rFonts w:hint="eastAsia"/>
          <w:lang w:val="en-US" w:eastAsia="zh-CN"/>
        </w:rPr>
        <w:t>投入三</w:t>
      </w:r>
      <w:r>
        <w:t>个角度考察</w:t>
      </w:r>
      <w:r>
        <w:rPr>
          <w:rFonts w:hint="eastAsia"/>
          <w:lang w:val="en-US" w:eastAsia="zh-CN"/>
        </w:rPr>
        <w:t>立项依据充分性</w:t>
      </w:r>
      <w:r>
        <w:rPr>
          <w:rFonts w:hint="eastAsia"/>
          <w:lang w:eastAsia="zh-CN"/>
        </w:rPr>
        <w:t>、</w:t>
      </w:r>
      <w:r>
        <w:rPr>
          <w:rFonts w:hint="eastAsia"/>
          <w:lang w:val="en-US" w:eastAsia="zh-CN"/>
        </w:rPr>
        <w:t>立项程序规范性</w:t>
      </w:r>
      <w:r>
        <w:rPr>
          <w:rFonts w:hint="eastAsia"/>
          <w:lang w:eastAsia="zh-CN"/>
        </w:rPr>
        <w:t>、</w:t>
      </w:r>
      <w:r>
        <w:rPr>
          <w:rFonts w:hint="eastAsia"/>
        </w:rPr>
        <w:t>绩效目标合理性</w:t>
      </w:r>
      <w:r>
        <w:rPr>
          <w:rFonts w:hint="eastAsia"/>
          <w:lang w:eastAsia="zh-CN"/>
        </w:rPr>
        <w:t>、</w:t>
      </w:r>
      <w:r>
        <w:rPr>
          <w:rFonts w:hint="eastAsia"/>
        </w:rPr>
        <w:t>绩效目标明确性</w:t>
      </w:r>
      <w:r>
        <w:rPr>
          <w:rFonts w:hint="eastAsia"/>
          <w:lang w:eastAsia="zh-CN"/>
        </w:rPr>
        <w:t>、</w:t>
      </w:r>
      <w:r>
        <w:rPr>
          <w:rFonts w:hint="eastAsia"/>
        </w:rPr>
        <w:t>预算编制科学性</w:t>
      </w:r>
      <w:r>
        <w:rPr>
          <w:rFonts w:hint="eastAsia"/>
          <w:lang w:val="en-US" w:eastAsia="zh-CN"/>
        </w:rPr>
        <w:t>及</w:t>
      </w:r>
      <w:r>
        <w:rPr>
          <w:rFonts w:hint="eastAsia"/>
        </w:rPr>
        <w:t>资金分配合理性</w:t>
      </w:r>
      <w:r>
        <w:rPr>
          <w:rFonts w:hint="eastAsia"/>
          <w:lang w:eastAsia="zh-CN"/>
        </w:rPr>
        <w:t>；</w:t>
      </w:r>
      <w:r>
        <w:rPr>
          <w:rFonts w:hint="eastAsia"/>
        </w:rPr>
        <w:t>过程</w:t>
      </w:r>
      <w:r>
        <w:rPr>
          <w:rFonts w:hint="eastAsia"/>
          <w:lang w:val="en-US" w:eastAsia="zh-CN"/>
        </w:rPr>
        <w:t>类指标</w:t>
      </w:r>
      <w:r>
        <w:rPr>
          <w:rFonts w:hint="eastAsia"/>
        </w:rPr>
        <w:t>占权重分20分，</w:t>
      </w:r>
      <w:r>
        <w:rPr>
          <w:rFonts w:hint="eastAsia"/>
          <w:lang w:val="en-US" w:eastAsia="zh-CN"/>
        </w:rPr>
        <w:t>从组织实施</w:t>
      </w:r>
      <w:r>
        <w:rPr>
          <w:rFonts w:hint="eastAsia"/>
        </w:rPr>
        <w:t>、</w:t>
      </w:r>
      <w:r>
        <w:rPr>
          <w:rFonts w:hint="eastAsia"/>
          <w:lang w:val="en-US" w:eastAsia="zh-CN"/>
        </w:rPr>
        <w:t>资金</w:t>
      </w:r>
      <w:r>
        <w:rPr>
          <w:rFonts w:hint="eastAsia"/>
        </w:rPr>
        <w:t>管理两</w:t>
      </w:r>
      <w:r>
        <w:t>个角度考察</w:t>
      </w:r>
      <w:r>
        <w:rPr>
          <w:rFonts w:hint="eastAsia"/>
        </w:rPr>
        <w:t>管理制度健全性、</w:t>
      </w:r>
      <w:r>
        <w:rPr>
          <w:rFonts w:hint="eastAsia"/>
          <w:lang w:val="en-US" w:eastAsia="zh-CN"/>
        </w:rPr>
        <w:t>制度执行有效性</w:t>
      </w:r>
      <w:r>
        <w:rPr>
          <w:rFonts w:hint="eastAsia"/>
        </w:rPr>
        <w:t>、</w:t>
      </w:r>
      <w:r>
        <w:rPr>
          <w:rFonts w:hint="eastAsia"/>
          <w:lang w:val="en-US" w:eastAsia="zh-CN"/>
        </w:rPr>
        <w:t>建设方案完备性</w:t>
      </w:r>
      <w:r>
        <w:rPr>
          <w:rFonts w:hint="eastAsia"/>
        </w:rPr>
        <w:t>、</w:t>
      </w:r>
      <w:r>
        <w:rPr>
          <w:rFonts w:hint="eastAsia"/>
          <w:lang w:val="en-US" w:eastAsia="zh-CN"/>
        </w:rPr>
        <w:t>信息公开</w:t>
      </w:r>
      <w:r>
        <w:rPr>
          <w:rFonts w:hint="eastAsia"/>
        </w:rPr>
        <w:t>和</w:t>
      </w:r>
      <w:r>
        <w:rPr>
          <w:rFonts w:hint="eastAsia"/>
          <w:lang w:val="en-US" w:eastAsia="zh-CN"/>
        </w:rPr>
        <w:t>资金到位率</w:t>
      </w:r>
      <w:r>
        <w:rPr>
          <w:rFonts w:hint="eastAsia"/>
        </w:rPr>
        <w:t>、资金使用合规性等</w:t>
      </w:r>
      <w:r>
        <w:rPr>
          <w:rFonts w:hint="eastAsia"/>
          <w:lang w:eastAsia="zh-CN"/>
        </w:rPr>
        <w:t>；</w:t>
      </w:r>
      <w:r>
        <w:rPr>
          <w:rFonts w:hint="eastAsia"/>
        </w:rPr>
        <w:t>产出</w:t>
      </w:r>
      <w:r>
        <w:rPr>
          <w:rFonts w:hint="eastAsia"/>
          <w:lang w:val="en-US" w:eastAsia="zh-CN"/>
        </w:rPr>
        <w:t>类指标</w:t>
      </w:r>
      <w:r>
        <w:rPr>
          <w:rFonts w:hint="eastAsia"/>
        </w:rPr>
        <w:t>占权重分30分，从</w:t>
      </w:r>
      <w:r>
        <w:t>资金投入使用后的</w:t>
      </w:r>
      <w:r>
        <w:rPr>
          <w:rFonts w:hint="eastAsia"/>
          <w:lang w:val="en-US" w:eastAsia="zh-CN"/>
        </w:rPr>
        <w:t>产出数量、产出质量、产出时效三</w:t>
      </w:r>
      <w:r>
        <w:rPr>
          <w:rFonts w:hint="eastAsia"/>
        </w:rPr>
        <w:t>个角度来考察项目产出情况</w:t>
      </w:r>
      <w:r>
        <w:rPr>
          <w:rFonts w:hint="eastAsia"/>
          <w:lang w:eastAsia="zh-CN"/>
        </w:rPr>
        <w:t>；</w:t>
      </w:r>
      <w:r>
        <w:rPr>
          <w:rFonts w:hint="eastAsia"/>
        </w:rPr>
        <w:t>效益</w:t>
      </w:r>
      <w:r>
        <w:rPr>
          <w:rFonts w:hint="eastAsia"/>
          <w:lang w:val="en-US" w:eastAsia="zh-CN"/>
        </w:rPr>
        <w:t>类指标</w:t>
      </w:r>
      <w:r>
        <w:rPr>
          <w:rFonts w:hint="eastAsia"/>
        </w:rPr>
        <w:t>占权重分30分，从</w:t>
      </w:r>
      <w:r>
        <w:rPr>
          <w:rFonts w:hint="eastAsia"/>
          <w:lang w:val="en-US" w:eastAsia="zh-CN"/>
        </w:rPr>
        <w:t>经济</w:t>
      </w:r>
      <w:r>
        <w:rPr>
          <w:rFonts w:hint="eastAsia"/>
        </w:rPr>
        <w:t>效益、</w:t>
      </w:r>
      <w:r>
        <w:rPr>
          <w:rFonts w:hint="eastAsia"/>
          <w:lang w:val="en-US" w:eastAsia="zh-CN"/>
        </w:rPr>
        <w:t>社会效益、生态效益、</w:t>
      </w:r>
      <w:r>
        <w:rPr>
          <w:rFonts w:hint="eastAsia"/>
        </w:rPr>
        <w:t>可持续影响及满意度</w:t>
      </w:r>
      <w:r>
        <w:rPr>
          <w:rFonts w:hint="eastAsia"/>
          <w:lang w:val="en-US" w:eastAsia="zh-CN"/>
        </w:rPr>
        <w:t>五</w:t>
      </w:r>
      <w:r>
        <w:rPr>
          <w:rFonts w:hint="eastAsia"/>
        </w:rPr>
        <w:t>个方面来考察项目效益情况。</w:t>
      </w:r>
    </w:p>
    <w:p>
      <w:pPr>
        <w:pStyle w:val="5"/>
        <w:keepNext/>
        <w:keepLines/>
        <w:pageBreakBefore w:val="0"/>
        <w:widowControl w:val="0"/>
        <w:kinsoku/>
        <w:wordWrap/>
        <w:overflowPunct/>
        <w:topLinePunct w:val="0"/>
        <w:autoSpaceDE/>
        <w:autoSpaceDN/>
        <w:bidi w:val="0"/>
        <w:adjustRightInd/>
        <w:snapToGrid/>
        <w:textAlignment w:val="auto"/>
        <w:rPr>
          <w:rFonts w:hint="eastAsia"/>
          <w:lang w:val="en-US" w:eastAsia="zh-CN"/>
        </w:rPr>
      </w:pPr>
      <w:bookmarkStart w:id="31" w:name="_Toc6851"/>
      <w:bookmarkStart w:id="32" w:name="_Toc2312"/>
      <w:r>
        <w:rPr>
          <w:rFonts w:hint="eastAsia"/>
          <w:lang w:val="en-US" w:eastAsia="zh-CN"/>
        </w:rPr>
        <w:t>（五）绩效评价工作过程</w:t>
      </w:r>
      <w:bookmarkEnd w:id="31"/>
      <w:bookmarkEnd w:id="32"/>
    </w:p>
    <w:p>
      <w:pPr>
        <w:bidi w:val="0"/>
        <w:rPr>
          <w:rFonts w:hint="default"/>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接收</w:t>
      </w:r>
      <w:r>
        <w:rPr>
          <w:rFonts w:hint="eastAsia" w:cs="仿宋_GB2312"/>
          <w:i w:val="0"/>
          <w:iCs w:val="0"/>
          <w:caps w:val="0"/>
          <w:color w:val="000000"/>
          <w:spacing w:val="0"/>
          <w:sz w:val="28"/>
          <w:szCs w:val="27"/>
          <w:highlight w:val="none"/>
          <w:u w:val="none"/>
          <w:lang w:val="en-US" w:eastAsia="zh-CN"/>
        </w:rPr>
        <w:t>宁武县财政局</w:t>
      </w:r>
      <w:r>
        <w:rPr>
          <w:rFonts w:hint="default" w:ascii="仿宋_GB2312" w:hAnsi="仿宋_GB2312" w:eastAsia="仿宋_GB2312" w:cs="仿宋_GB2312"/>
          <w:i w:val="0"/>
          <w:iCs w:val="0"/>
          <w:caps w:val="0"/>
          <w:color w:val="000000"/>
          <w:spacing w:val="0"/>
          <w:sz w:val="28"/>
          <w:szCs w:val="27"/>
          <w:highlight w:val="none"/>
          <w:lang w:val="en-US" w:eastAsia="zh-CN"/>
        </w:rPr>
        <w:t>的委托</w:t>
      </w:r>
      <w:r>
        <w:rPr>
          <w:rFonts w:hint="eastAsia" w:ascii="仿宋_GB2312" w:hAnsi="仿宋_GB2312" w:eastAsia="仿宋_GB2312" w:cs="仿宋_GB2312"/>
          <w:i w:val="0"/>
          <w:iCs w:val="0"/>
          <w:caps w:val="0"/>
          <w:color w:val="000000"/>
          <w:spacing w:val="0"/>
          <w:sz w:val="28"/>
          <w:szCs w:val="27"/>
          <w:highlight w:val="none"/>
          <w:lang w:val="en-US" w:eastAsia="zh-CN"/>
        </w:rPr>
        <w:t>后</w:t>
      </w:r>
      <w:r>
        <w:rPr>
          <w:rFonts w:hint="default" w:ascii="仿宋_GB2312" w:hAnsi="仿宋_GB2312" w:eastAsia="仿宋_GB2312" w:cs="仿宋_GB2312"/>
          <w:i w:val="0"/>
          <w:iCs w:val="0"/>
          <w:caps w:val="0"/>
          <w:color w:val="000000"/>
          <w:spacing w:val="0"/>
          <w:sz w:val="28"/>
          <w:szCs w:val="27"/>
          <w:highlight w:val="none"/>
          <w:lang w:val="en-US" w:eastAsia="zh-CN"/>
        </w:rPr>
        <w:t>，</w:t>
      </w:r>
      <w:r>
        <w:rPr>
          <w:rFonts w:hint="default"/>
          <w:lang w:val="en-US" w:eastAsia="zh-CN"/>
        </w:rPr>
        <w:t>我公司高度重视，积极筹备，成立项目领导组负责评价过程的协调和督导。本次绩效评价工作分为</w:t>
      </w:r>
      <w:r>
        <w:rPr>
          <w:rFonts w:hint="eastAsia"/>
          <w:lang w:val="en-US" w:eastAsia="zh-CN"/>
        </w:rPr>
        <w:t>前期准备</w:t>
      </w:r>
      <w:r>
        <w:rPr>
          <w:rFonts w:hint="default"/>
          <w:lang w:val="en-US" w:eastAsia="zh-CN"/>
        </w:rPr>
        <w:t>、</w:t>
      </w:r>
      <w:r>
        <w:rPr>
          <w:rFonts w:hint="eastAsia"/>
          <w:lang w:val="en-US" w:eastAsia="zh-CN"/>
        </w:rPr>
        <w:t>现场实施</w:t>
      </w:r>
      <w:r>
        <w:rPr>
          <w:rFonts w:hint="default"/>
          <w:lang w:val="en-US" w:eastAsia="zh-CN"/>
        </w:rPr>
        <w:t>、报告撰写阶段三个阶段。</w:t>
      </w:r>
    </w:p>
    <w:p>
      <w:pPr>
        <w:pStyle w:val="6"/>
        <w:bidi w:val="0"/>
        <w:rPr>
          <w:rFonts w:hint="default"/>
          <w:lang w:val="en-US" w:eastAsia="zh-CN"/>
        </w:rPr>
      </w:pPr>
      <w:r>
        <w:rPr>
          <w:rFonts w:hint="default"/>
          <w:lang w:val="en-US" w:eastAsia="zh-CN"/>
        </w:rPr>
        <w:t>1.</w:t>
      </w:r>
      <w:r>
        <w:rPr>
          <w:rFonts w:hint="eastAsia"/>
          <w:lang w:val="en-US" w:eastAsia="zh-CN"/>
        </w:rPr>
        <w:t>评价准备阶段</w:t>
      </w:r>
    </w:p>
    <w:p>
      <w:pPr>
        <w:bidi w:val="0"/>
        <w:rPr>
          <w:rFonts w:hint="default"/>
          <w:lang w:val="en-US" w:eastAsia="zh-CN"/>
        </w:rPr>
      </w:pPr>
      <w:r>
        <w:rPr>
          <w:rFonts w:hint="eastAsia"/>
          <w:lang w:val="en-US" w:eastAsia="zh-CN"/>
        </w:rPr>
        <w:t>根据山西省《省级项目支出绩效评价管理办法》（晋财绩</w:t>
      </w:r>
      <w:r>
        <w:rPr>
          <w:rFonts w:hint="eastAsia" w:ascii="仿宋_GB2312" w:hAnsi="仿宋_GB2312" w:eastAsia="仿宋_GB2312" w:cs="仿宋_GB2312"/>
          <w:i w:val="0"/>
          <w:iCs w:val="0"/>
          <w:caps w:val="0"/>
          <w:color w:val="000000"/>
          <w:spacing w:val="0"/>
          <w:sz w:val="28"/>
          <w:szCs w:val="27"/>
          <w:highlight w:val="none"/>
          <w:lang w:val="en-US" w:eastAsia="zh-CN"/>
        </w:rPr>
        <w:t>〔2020〕</w:t>
      </w:r>
      <w:r>
        <w:rPr>
          <w:rFonts w:hint="eastAsia" w:cs="仿宋_GB2312"/>
          <w:i w:val="0"/>
          <w:iCs w:val="0"/>
          <w:caps w:val="0"/>
          <w:color w:val="000000"/>
          <w:spacing w:val="0"/>
          <w:sz w:val="28"/>
          <w:szCs w:val="27"/>
          <w:highlight w:val="none"/>
          <w:lang w:val="en-US" w:eastAsia="zh-CN"/>
        </w:rPr>
        <w:t>17号</w:t>
      </w:r>
      <w:r>
        <w:rPr>
          <w:rFonts w:hint="eastAsia"/>
          <w:lang w:val="en-US" w:eastAsia="zh-CN"/>
        </w:rPr>
        <w:t>）文件精神</w:t>
      </w:r>
      <w:r>
        <w:rPr>
          <w:rFonts w:hint="default" w:ascii="仿宋_GB2312" w:hAnsi="仿宋_GB2312" w:eastAsia="仿宋_GB2312" w:cs="仿宋_GB2312"/>
          <w:i w:val="0"/>
          <w:iCs w:val="0"/>
          <w:caps w:val="0"/>
          <w:color w:val="000000"/>
          <w:spacing w:val="0"/>
          <w:sz w:val="28"/>
          <w:szCs w:val="27"/>
          <w:highlight w:val="none"/>
          <w:lang w:val="en-US" w:eastAsia="zh-CN"/>
        </w:rPr>
        <w:t>总体要求，明确评价目的和工作思路，联系</w:t>
      </w:r>
      <w:r>
        <w:rPr>
          <w:rFonts w:hint="eastAsia" w:cs="仿宋_GB2312"/>
          <w:i w:val="0"/>
          <w:iCs w:val="0"/>
          <w:caps w:val="0"/>
          <w:color w:val="000000"/>
          <w:spacing w:val="0"/>
          <w:sz w:val="28"/>
          <w:szCs w:val="27"/>
          <w:highlight w:val="none"/>
          <w:lang w:val="en-US" w:eastAsia="zh-CN"/>
        </w:rPr>
        <w:t>宁武县石家庄镇人民政府</w:t>
      </w:r>
      <w:r>
        <w:rPr>
          <w:rFonts w:hint="default" w:ascii="仿宋_GB2312" w:hAnsi="仿宋_GB2312" w:eastAsia="仿宋_GB2312" w:cs="仿宋_GB2312"/>
          <w:i w:val="0"/>
          <w:iCs w:val="0"/>
          <w:caps w:val="0"/>
          <w:color w:val="000000"/>
          <w:spacing w:val="0"/>
          <w:sz w:val="28"/>
          <w:szCs w:val="27"/>
          <w:highlight w:val="none"/>
          <w:lang w:val="en-US" w:eastAsia="zh-CN"/>
        </w:rPr>
        <w:t>开展调研，收集相关政策文件和信息资料，编制绩效评价指标体系、评分标准和评价等级。</w:t>
      </w:r>
    </w:p>
    <w:p>
      <w:pPr>
        <w:pStyle w:val="6"/>
        <w:bidi w:val="0"/>
        <w:rPr>
          <w:rFonts w:hint="default"/>
          <w:lang w:val="en-US" w:eastAsia="zh-CN"/>
        </w:rPr>
      </w:pPr>
      <w:bookmarkStart w:id="33" w:name="_Toc706"/>
      <w:r>
        <w:rPr>
          <w:rFonts w:hint="default"/>
          <w:lang w:val="en-US" w:eastAsia="zh-CN"/>
        </w:rPr>
        <w:t>2.组织实施阶段</w:t>
      </w:r>
    </w:p>
    <w:p>
      <w:pPr>
        <w:bidi w:val="0"/>
        <w:rPr>
          <w:rFonts w:hint="eastAsia"/>
          <w:lang w:val="en-US" w:eastAsia="zh-CN"/>
        </w:rPr>
      </w:pPr>
      <w:r>
        <w:rPr>
          <w:rFonts w:hint="default"/>
          <w:lang w:val="en-US" w:eastAsia="zh-CN"/>
        </w:rPr>
        <w:t>（1）</w:t>
      </w:r>
      <w:r>
        <w:rPr>
          <w:rFonts w:hint="eastAsia"/>
          <w:lang w:val="en-US" w:eastAsia="zh-CN"/>
        </w:rPr>
        <w:t>围绕评价指标补充</w:t>
      </w:r>
      <w:r>
        <w:rPr>
          <w:rFonts w:hint="default"/>
          <w:lang w:val="en-US" w:eastAsia="zh-CN"/>
        </w:rPr>
        <w:t>收集</w:t>
      </w:r>
      <w:r>
        <w:rPr>
          <w:rFonts w:hint="eastAsia"/>
          <w:lang w:val="en-US" w:eastAsia="zh-CN"/>
        </w:rPr>
        <w:t>相关</w:t>
      </w:r>
      <w:r>
        <w:rPr>
          <w:rFonts w:hint="default"/>
          <w:lang w:val="en-US" w:eastAsia="zh-CN"/>
        </w:rPr>
        <w:t>资料</w:t>
      </w:r>
      <w:r>
        <w:rPr>
          <w:rFonts w:hint="eastAsia"/>
          <w:lang w:val="en-US" w:eastAsia="zh-CN"/>
        </w:rPr>
        <w:t>；</w:t>
      </w:r>
    </w:p>
    <w:p>
      <w:pPr>
        <w:bidi w:val="0"/>
        <w:rPr>
          <w:rFonts w:hint="default"/>
          <w:lang w:val="en-US" w:eastAsia="zh-CN"/>
        </w:rPr>
      </w:pPr>
      <w:r>
        <w:rPr>
          <w:rFonts w:hint="default"/>
          <w:lang w:val="en-US" w:eastAsia="zh-CN"/>
        </w:rPr>
        <w:t>（2）现场勘查。根据评价对象的特点和项目单位提供的数据资料，现场勘查项目建设情况及运营情况。</w:t>
      </w:r>
    </w:p>
    <w:p>
      <w:pPr>
        <w:bidi w:val="0"/>
        <w:rPr>
          <w:rFonts w:hint="default"/>
          <w:lang w:val="en-US" w:eastAsia="zh-CN"/>
        </w:rPr>
      </w:pPr>
      <w:r>
        <w:rPr>
          <w:rFonts w:hint="eastAsia"/>
          <w:lang w:val="en-US" w:eastAsia="zh-CN"/>
        </w:rPr>
        <w:t>（3）满意度调查。向项目受益群体发放一定数量的满意度调查问卷，汇总受益群体对项目的意见及建议，形成满意度调查问卷分析。</w:t>
      </w:r>
    </w:p>
    <w:p>
      <w:pPr>
        <w:bidi w:val="0"/>
        <w:rPr>
          <w:rFonts w:hint="default"/>
          <w:lang w:val="en-US" w:eastAsia="zh-CN"/>
        </w:rPr>
      </w:pPr>
      <w:r>
        <w:rPr>
          <w:rFonts w:hint="default"/>
          <w:lang w:val="en-US" w:eastAsia="zh-CN"/>
        </w:rPr>
        <w:t>（</w:t>
      </w:r>
      <w:r>
        <w:rPr>
          <w:rFonts w:hint="eastAsia"/>
          <w:lang w:val="en-US" w:eastAsia="zh-CN"/>
        </w:rPr>
        <w:t>4</w:t>
      </w:r>
      <w:r>
        <w:rPr>
          <w:rFonts w:hint="default"/>
          <w:lang w:val="en-US" w:eastAsia="zh-CN"/>
        </w:rPr>
        <w:t>）综合评价。根据评价工作方案确定的评价指标、评价权重、评价标准和评价方法，对评价对象的情况进行全面的定量定性分析和综合评价。</w:t>
      </w:r>
    </w:p>
    <w:p>
      <w:pPr>
        <w:pStyle w:val="6"/>
        <w:bidi w:val="0"/>
        <w:rPr>
          <w:rFonts w:hint="default"/>
          <w:lang w:val="en-US" w:eastAsia="zh-CN"/>
        </w:rPr>
      </w:pPr>
      <w:r>
        <w:rPr>
          <w:rFonts w:hint="default"/>
          <w:lang w:val="en-US" w:eastAsia="zh-CN"/>
        </w:rPr>
        <w:t>3.报告撰写阶段</w:t>
      </w:r>
    </w:p>
    <w:p>
      <w:pPr>
        <w:bidi w:val="0"/>
        <w:rPr>
          <w:rFonts w:hint="eastAsia"/>
          <w:lang w:val="en-US" w:eastAsia="zh-CN"/>
        </w:rPr>
      </w:pPr>
      <w:r>
        <w:rPr>
          <w:rFonts w:hint="default"/>
          <w:lang w:val="en-US" w:eastAsia="zh-CN"/>
        </w:rPr>
        <w:t>绩效评价组根据被评价单位的绩效情况，按要求撰写评价报告，并根据专家意见进一步完善、修改绩效评价报告，形成</w:t>
      </w:r>
      <w:r>
        <w:rPr>
          <w:rFonts w:hint="eastAsia"/>
          <w:lang w:val="en-US" w:eastAsia="zh-CN"/>
        </w:rPr>
        <w:t>报告提交报送委托评价单位。</w:t>
      </w:r>
    </w:p>
    <w:p>
      <w:pPr>
        <w:pStyle w:val="4"/>
        <w:ind w:firstLine="560"/>
      </w:pPr>
      <w:bookmarkStart w:id="34" w:name="_Toc32513"/>
      <w:r>
        <w:rPr>
          <w:rFonts w:hint="eastAsia"/>
        </w:rPr>
        <w:t>三、综合评价情况及评价结论</w:t>
      </w:r>
      <w:bookmarkEnd w:id="33"/>
      <w:bookmarkEnd w:id="34"/>
    </w:p>
    <w:p>
      <w:pPr>
        <w:pStyle w:val="5"/>
        <w:ind w:firstLine="560"/>
        <w:rPr>
          <w:rFonts w:hint="default" w:eastAsia="楷体_GB2312"/>
          <w:lang w:val="en-US" w:eastAsia="zh-CN"/>
        </w:rPr>
      </w:pPr>
      <w:bookmarkStart w:id="35" w:name="_Toc9859"/>
      <w:bookmarkStart w:id="36" w:name="_Toc14147"/>
      <w:r>
        <w:rPr>
          <w:rFonts w:hint="eastAsia"/>
        </w:rPr>
        <w:t>（一）</w:t>
      </w:r>
      <w:bookmarkEnd w:id="35"/>
      <w:r>
        <w:rPr>
          <w:rFonts w:hint="eastAsia"/>
          <w:lang w:val="en-US" w:eastAsia="zh-CN"/>
        </w:rPr>
        <w:t>综合评价情况</w:t>
      </w:r>
      <w:bookmarkEnd w:id="36"/>
    </w:p>
    <w:p>
      <w:pPr>
        <w:bidi w:val="0"/>
      </w:pPr>
      <w:r>
        <w:rPr>
          <w:rFonts w:hint="eastAsia"/>
        </w:rPr>
        <w:t>本次评价以2020年12月31日为评价基准日，采用比较法、综合指数评价法进行绩效评价，对宁武县</w:t>
      </w:r>
      <w:r>
        <w:rPr>
          <w:rFonts w:hint="eastAsia"/>
          <w:lang w:val="en-US" w:eastAsia="zh-CN"/>
        </w:rPr>
        <w:t>石家庄镇人民政府2020年</w:t>
      </w:r>
      <w:r>
        <w:rPr>
          <w:rFonts w:hint="eastAsia"/>
        </w:rPr>
        <w:t>财政统筹整合资金扶贫项目实施了现场核查、对比分析、指标评分、报告撰写等必要的评价程序，最终形成如下评价结果，详见表3-1。</w:t>
      </w:r>
    </w:p>
    <w:p>
      <w:pPr>
        <w:bidi w:val="0"/>
        <w:rPr>
          <w:rFonts w:hint="eastAsia"/>
        </w:rPr>
      </w:pPr>
      <w:r>
        <w:rPr>
          <w:rFonts w:hint="eastAsia"/>
        </w:rPr>
        <w:t>宁武县</w:t>
      </w:r>
      <w:r>
        <w:rPr>
          <w:rFonts w:hint="eastAsia"/>
          <w:lang w:val="en-US" w:eastAsia="zh-CN"/>
        </w:rPr>
        <w:t>石家庄镇人民政府2020年</w:t>
      </w:r>
      <w:r>
        <w:rPr>
          <w:rFonts w:hint="eastAsia"/>
        </w:rPr>
        <w:t>财政统筹整合资金扶贫项目绩效评价得分为</w:t>
      </w:r>
      <w:r>
        <w:rPr>
          <w:rFonts w:hint="eastAsia"/>
          <w:lang w:val="en-US" w:eastAsia="zh-CN"/>
        </w:rPr>
        <w:t>58.10</w:t>
      </w:r>
      <w:r>
        <w:rPr>
          <w:rFonts w:hint="eastAsia"/>
        </w:rPr>
        <w:t>分，评价等级为“</w:t>
      </w:r>
      <w:r>
        <w:rPr>
          <w:rFonts w:hint="eastAsia"/>
          <w:lang w:val="en-US" w:eastAsia="zh-CN"/>
        </w:rPr>
        <w:t>差</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3"/>
        <w:rPr>
          <w:rFonts w:ascii="宋体" w:hAnsi="宋体" w:eastAsia="宋体" w:cstheme="majorBidi"/>
          <w:bCs/>
          <w:szCs w:val="28"/>
        </w:rPr>
      </w:pPr>
      <w:r>
        <w:rPr>
          <w:rFonts w:hint="eastAsia" w:ascii="宋体" w:hAnsi="宋体" w:eastAsia="宋体" w:cstheme="majorBidi"/>
          <w:bCs/>
          <w:szCs w:val="28"/>
        </w:rPr>
        <w:t>表3-1 项目总体绩效评价评分表</w:t>
      </w:r>
    </w:p>
    <w:tbl>
      <w:tblPr>
        <w:tblStyle w:val="13"/>
        <w:tblW w:w="8392"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098"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098"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098"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14</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70%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20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14.40</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72%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24.20</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80.67%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098"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098"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5.50</w:t>
            </w:r>
          </w:p>
        </w:tc>
        <w:tc>
          <w:tcPr>
            <w:tcW w:w="2098" w:type="dxa"/>
            <w:tcBorders>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18.33%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098"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098" w:type="dxa"/>
            <w:tcBorders>
              <w:bottom w:val="double" w:color="auto" w:sz="4" w:space="0"/>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58.10</w:t>
            </w:r>
          </w:p>
        </w:tc>
        <w:tc>
          <w:tcPr>
            <w:tcW w:w="2098" w:type="dxa"/>
            <w:tcBorders>
              <w:bottom w:val="double" w:color="auto" w:sz="4" w:space="0"/>
              <w:right w:val="nil"/>
            </w:tcBorders>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58.10%</w:t>
            </w:r>
          </w:p>
        </w:tc>
      </w:tr>
    </w:tbl>
    <w:p>
      <w:pPr>
        <w:pStyle w:val="5"/>
        <w:keepNext/>
        <w:keepLines/>
        <w:pageBreakBefore w:val="0"/>
        <w:widowControl w:val="0"/>
        <w:kinsoku/>
        <w:wordWrap/>
        <w:overflowPunct/>
        <w:topLinePunct w:val="0"/>
        <w:autoSpaceDE/>
        <w:autoSpaceDN/>
        <w:bidi w:val="0"/>
        <w:adjustRightInd/>
        <w:snapToGrid/>
        <w:spacing w:before="157" w:beforeLines="50"/>
        <w:textAlignment w:val="auto"/>
        <w:rPr>
          <w:rFonts w:hint="default" w:eastAsia="楷体_GB2312"/>
          <w:lang w:val="en-US" w:eastAsia="zh-CN"/>
        </w:rPr>
      </w:pPr>
      <w:bookmarkStart w:id="37" w:name="_Toc28129"/>
      <w:bookmarkStart w:id="38" w:name="_Toc15674"/>
      <w:r>
        <w:rPr>
          <w:rFonts w:hint="eastAsia"/>
        </w:rPr>
        <w:t>（二）</w:t>
      </w:r>
      <w:bookmarkEnd w:id="37"/>
      <w:r>
        <w:rPr>
          <w:rFonts w:hint="eastAsia"/>
          <w:lang w:val="en-US" w:eastAsia="zh-CN"/>
        </w:rPr>
        <w:t>评价结论</w:t>
      </w:r>
      <w:bookmarkEnd w:id="38"/>
    </w:p>
    <w:p>
      <w:pPr>
        <w:bidi w:val="0"/>
        <w:rPr>
          <w:rFonts w:hint="eastAsia"/>
          <w:lang w:eastAsia="zh-CN"/>
        </w:rPr>
      </w:pPr>
      <w:bookmarkStart w:id="39" w:name="_Toc17936"/>
      <w:bookmarkStart w:id="40" w:name="_Toc12049"/>
      <w:r>
        <w:rPr>
          <w:rFonts w:hint="eastAsia" w:hAnsiTheme="minorHAnsi"/>
          <w:lang w:val="en-US" w:eastAsia="zh-CN"/>
        </w:rPr>
        <w:t>宁武县石家庄镇</w:t>
      </w:r>
      <w:r>
        <w:rPr>
          <w:rFonts w:hint="eastAsia" w:hAnsiTheme="minorHAnsi"/>
        </w:rPr>
        <w:t>根据</w:t>
      </w:r>
      <w:r>
        <w:rPr>
          <w:rFonts w:hint="eastAsia" w:hAnsiTheme="minorHAnsi"/>
          <w:kern w:val="0"/>
          <w:szCs w:val="28"/>
        </w:rPr>
        <w:t>《宁武县脱贫攻坚总指挥部关于印发宁武县2</w:t>
      </w:r>
      <w:r>
        <w:rPr>
          <w:rFonts w:hAnsiTheme="minorHAnsi"/>
          <w:kern w:val="0"/>
          <w:szCs w:val="28"/>
        </w:rPr>
        <w:t>020</w:t>
      </w:r>
      <w:r>
        <w:rPr>
          <w:rFonts w:hint="eastAsia" w:hAnsiTheme="minorHAnsi"/>
          <w:kern w:val="0"/>
          <w:szCs w:val="28"/>
        </w:rPr>
        <w:t>年统筹整合使用财政资金开展脱贫攻坚调整实施方案的通知》(宁脱贫攻坚部〔20</w:t>
      </w:r>
      <w:r>
        <w:rPr>
          <w:rFonts w:hAnsiTheme="minorHAnsi"/>
          <w:kern w:val="0"/>
          <w:szCs w:val="28"/>
        </w:rPr>
        <w:t>20</w:t>
      </w:r>
      <w:r>
        <w:rPr>
          <w:rFonts w:hint="eastAsia" w:hAnsiTheme="minorHAnsi"/>
          <w:kern w:val="0"/>
          <w:szCs w:val="28"/>
        </w:rPr>
        <w:t>〕</w:t>
      </w:r>
      <w:r>
        <w:rPr>
          <w:rFonts w:hAnsiTheme="minorHAnsi"/>
          <w:kern w:val="0"/>
          <w:szCs w:val="28"/>
        </w:rPr>
        <w:t>20</w:t>
      </w:r>
      <w:r>
        <w:rPr>
          <w:rFonts w:hint="eastAsia" w:hAnsiTheme="minorHAnsi"/>
          <w:kern w:val="0"/>
          <w:szCs w:val="28"/>
        </w:rPr>
        <w:t>号)文件内容安排实施项目</w:t>
      </w:r>
      <w:r>
        <w:rPr>
          <w:rFonts w:hint="eastAsia" w:hAnsiTheme="minorHAnsi"/>
          <w:kern w:val="0"/>
          <w:szCs w:val="28"/>
          <w:lang w:eastAsia="zh-CN"/>
        </w:rPr>
        <w:t>，</w:t>
      </w:r>
      <w:r>
        <w:rPr>
          <w:rFonts w:hint="eastAsia" w:hAnsiTheme="minorHAnsi"/>
          <w:kern w:val="0"/>
          <w:szCs w:val="28"/>
          <w:lang w:val="en-US" w:eastAsia="zh-CN"/>
        </w:rPr>
        <w:t>宁武县石家庄镇人民政府2020年统筹整合财政资金用于支付</w:t>
      </w:r>
      <w:r>
        <w:rPr>
          <w:rFonts w:hint="eastAsia"/>
          <w:lang w:val="en-US" w:eastAsia="zh-CN"/>
        </w:rPr>
        <w:t>石家庄镇食用菌种植大棚建设项目尾款；石家庄镇食用菌</w:t>
      </w:r>
      <w:r>
        <w:t>项目按实施方案内容</w:t>
      </w:r>
      <w:r>
        <w:rPr>
          <w:rFonts w:hint="eastAsia"/>
        </w:rPr>
        <w:t>实施，</w:t>
      </w:r>
      <w:r>
        <w:rPr>
          <w:rFonts w:hint="eastAsia"/>
          <w:lang w:val="en-US" w:eastAsia="zh-CN"/>
        </w:rPr>
        <w:t>60座大棚全部按时完工，保证园区“三通一平”；配套工程：围墙、挡土坝墙及办公用房全部完工；其他工程：架电工程和打井工程完工情况良好；石家庄镇食用菌种植大棚建设项目2019年建设完成，当年投入菌棒生产，农户就业渠道有所增加，带动58户贫困户增收，每户均增收3,283.67元</w:t>
      </w:r>
      <w:r>
        <w:rPr>
          <w:rFonts w:hint="eastAsia"/>
          <w:lang w:eastAsia="zh-CN"/>
        </w:rPr>
        <w:t>。</w:t>
      </w:r>
    </w:p>
    <w:p>
      <w:pPr>
        <w:bidi w:val="0"/>
        <w:rPr>
          <w:rFonts w:hint="eastAsia" w:eastAsia="仿宋_GB2312"/>
          <w:lang w:val="en-US" w:eastAsia="zh-CN"/>
        </w:rPr>
      </w:pPr>
      <w:r>
        <w:rPr>
          <w:rFonts w:hint="eastAsia"/>
          <w:lang w:val="en-US" w:eastAsia="zh-CN"/>
        </w:rPr>
        <w:t>但项目验收与审计报告中竣工验收时间不一致，不能确定其实际完工时间</w:t>
      </w:r>
      <w:r>
        <w:t>；</w:t>
      </w:r>
      <w:r>
        <w:rPr>
          <w:rFonts w:hint="eastAsia"/>
          <w:lang w:val="en-US" w:eastAsia="zh-CN"/>
        </w:rPr>
        <w:t>验收资料不完整，未提供项目主体工程及附属工程验收报告</w:t>
      </w:r>
      <w:r>
        <w:rPr>
          <w:rFonts w:hint="eastAsia"/>
          <w:lang w:eastAsia="zh-CN"/>
        </w:rPr>
        <w:t>；</w:t>
      </w:r>
      <w:r>
        <w:rPr>
          <w:rFonts w:hint="eastAsia"/>
          <w:lang w:val="en-US" w:eastAsia="zh-CN"/>
        </w:rPr>
        <w:t>石家庄镇食用菌种植大棚建设项目只在2019年竣工之后上新一批菌棒生产，后期未进行运作，现在大棚基地已经荒废，政府决定转租，但尚未落实租出，合作社处于无人管理状态，所以当期效益不明显。</w:t>
      </w:r>
    </w:p>
    <w:bookmarkEnd w:id="39"/>
    <w:bookmarkEnd w:id="40"/>
    <w:p>
      <w:pPr>
        <w:pStyle w:val="4"/>
        <w:ind w:firstLine="560"/>
      </w:pPr>
      <w:bookmarkStart w:id="41" w:name="_Toc25375"/>
      <w:bookmarkStart w:id="42" w:name="_Toc10078"/>
      <w:r>
        <w:rPr>
          <w:rFonts w:hint="eastAsia"/>
          <w:lang w:val="en-US" w:eastAsia="zh-CN"/>
        </w:rPr>
        <w:t>四</w:t>
      </w:r>
      <w:r>
        <w:rPr>
          <w:rFonts w:hint="eastAsia"/>
        </w:rPr>
        <w:t>、存在的问题</w:t>
      </w:r>
      <w:bookmarkEnd w:id="41"/>
      <w:bookmarkEnd w:id="42"/>
    </w:p>
    <w:p>
      <w:pPr>
        <w:pStyle w:val="5"/>
        <w:ind w:firstLine="560"/>
        <w:rPr>
          <w:rFonts w:hint="default"/>
          <w:lang w:val="en-US" w:eastAsia="zh-CN"/>
        </w:rPr>
      </w:pPr>
      <w:bookmarkStart w:id="43" w:name="_Toc11400"/>
      <w:r>
        <w:rPr>
          <w:rFonts w:hint="eastAsia"/>
          <w:lang w:val="en-US" w:eastAsia="zh-CN"/>
        </w:rPr>
        <w:t>（一）合作社经营不善，目前不再进行生产</w:t>
      </w:r>
      <w:bookmarkEnd w:id="43"/>
    </w:p>
    <w:p>
      <w:pPr>
        <w:ind w:firstLine="560"/>
        <w:rPr>
          <w:rFonts w:hint="default"/>
          <w:lang w:val="en-US" w:eastAsia="zh-CN"/>
        </w:rPr>
      </w:pPr>
      <w:r>
        <w:rPr>
          <w:rFonts w:hint="eastAsia"/>
          <w:lang w:val="en-US" w:eastAsia="zh-CN"/>
        </w:rPr>
        <w:t>一是</w:t>
      </w:r>
      <w:r>
        <w:rPr>
          <w:rFonts w:hint="default"/>
          <w:lang w:val="en-US" w:eastAsia="zh-CN"/>
        </w:rPr>
        <w:t>食用菌加工多依赖人工，效率低，成本高，品质不稳定</w:t>
      </w:r>
      <w:r>
        <w:rPr>
          <w:rFonts w:hint="eastAsia"/>
          <w:lang w:val="en-US" w:eastAsia="zh-CN"/>
        </w:rPr>
        <w:t>。首先贫困户普遍存在年龄偏大、文化程度低、生产技能弱等情况，而且因病致贫、因残致贫的人数较多，导致很多贫困户无法真正参与食用菌产业扶贫项目。原材料菌棒需要从其他地区运输而来，中途产生的损耗导致成本升高。其次贫困户脱贫内生动力不足。部分贫困户主观脱贫意识不强，存在“等、靠、要”的依赖思想，自我脱贫致富的“造血”功能不能完全发挥出来。贫困户通过提供劳动力的方式获得收益，利益联结机制不紧密，主人翁意识不强，积极性相对较低。二是食用菌种植缺乏技术人员。食用菌的种植及其培育各个阶段都需要专业人员进行，原本合作社无相关专业技术人员，只能依靠花更多的钱请技术人员。</w:t>
      </w:r>
    </w:p>
    <w:p>
      <w:pPr>
        <w:pStyle w:val="5"/>
        <w:ind w:firstLine="560"/>
        <w:rPr>
          <w:rFonts w:hint="default"/>
          <w:lang w:val="en-US" w:eastAsia="zh-CN"/>
        </w:rPr>
      </w:pPr>
      <w:bookmarkStart w:id="44" w:name="_Toc16799"/>
      <w:r>
        <w:rPr>
          <w:rFonts w:hint="eastAsia"/>
          <w:lang w:val="en-US" w:eastAsia="zh-CN"/>
        </w:rPr>
        <w:t>（二）缺乏绩效目标申报表</w:t>
      </w:r>
      <w:bookmarkEnd w:id="44"/>
    </w:p>
    <w:p>
      <w:pPr>
        <w:bidi w:val="0"/>
        <w:rPr>
          <w:rFonts w:hint="eastAsia" w:ascii="宋体" w:hAnsi="宋体" w:eastAsia="宋体" w:cs="Times New Roman"/>
          <w:kern w:val="2"/>
          <w:lang w:val="en-US" w:eastAsia="zh-CN"/>
        </w:rPr>
      </w:pPr>
      <w:r>
        <w:rPr>
          <w:rFonts w:hint="eastAsia"/>
          <w:lang w:val="en-US" w:eastAsia="zh-CN"/>
        </w:rPr>
        <w:t>根据《山西省人民政府办公厅关于转发省财政厅等部门扶贫项目资金绩效管理实施办法的通知》，扶贫项目资金绩效目标是预算安排的重要依据和绩效管理的基础。市、县有关部门和资金使用单位未按要求设定绩效目标的项目，原则上不得纳入扶贫项目库，不得申请相关预算。年度预算执行终了，市、县有关部门应当组织资金使用单位开展绩效自评，填报绩效目标完成情况，对未完成目标的分析原因，提出下一步改进措施，并将绩效自评结果及时报送本级财政和扶贫开发部门。但在对石家庄镇食用菌种植大棚建设项目进行评价过程中，乡镇未提供2020年绩效目标申报表，同时未对项目进行自评，不符合文件要求。</w:t>
      </w:r>
    </w:p>
    <w:p>
      <w:pPr>
        <w:pStyle w:val="5"/>
        <w:ind w:firstLine="560"/>
        <w:rPr>
          <w:rFonts w:hint="default"/>
          <w:lang w:val="en-US" w:eastAsia="zh-CN"/>
        </w:rPr>
      </w:pPr>
      <w:bookmarkStart w:id="45" w:name="_Toc28950"/>
      <w:r>
        <w:rPr>
          <w:rFonts w:hint="eastAsia"/>
          <w:lang w:val="en-US" w:eastAsia="zh-CN"/>
        </w:rPr>
        <w:t>（三）档案管理不规范</w:t>
      </w:r>
      <w:bookmarkEnd w:id="45"/>
    </w:p>
    <w:p>
      <w:pPr>
        <w:bidi w:val="0"/>
        <w:rPr>
          <w:rFonts w:hint="default"/>
          <w:lang w:val="en-US" w:eastAsia="zh-CN"/>
        </w:rPr>
      </w:pPr>
      <w:r>
        <w:rPr>
          <w:rFonts w:hint="eastAsia"/>
          <w:lang w:val="en-US" w:eastAsia="zh-CN"/>
        </w:rPr>
        <w:t>根据《宁武县人民政府办公室关于印发宁武县统筹整合使用财政资金管理暂行办法的通知》的规定，统筹整合财政资金项目，从规划设计、项目审批、招投标或政府采购、施工监督、工程决算、工程验收、项目审计全过程形成的各种文字、图表材料都应纳入档案管理范围内。但在实际评价过程中，与山西九鼎建筑工程有限公司签订石家庄镇食用菌种植大棚建设项目附属工程合同中，约定其付款方式见补充合同，但实际并无补充合同，未对其工程付款方式进行约定；第三方出具结算审核报告乡镇并未保存。</w:t>
      </w:r>
    </w:p>
    <w:p>
      <w:pPr>
        <w:pStyle w:val="4"/>
        <w:ind w:firstLine="560"/>
        <w:rPr>
          <w:rFonts w:hint="eastAsia"/>
        </w:rPr>
      </w:pPr>
      <w:bookmarkStart w:id="46" w:name="_Toc3692"/>
      <w:bookmarkStart w:id="47" w:name="_Toc14879"/>
      <w:r>
        <w:rPr>
          <w:rFonts w:hint="eastAsia"/>
          <w:lang w:val="en-US" w:eastAsia="zh-CN"/>
        </w:rPr>
        <w:t>五</w:t>
      </w:r>
      <w:r>
        <w:rPr>
          <w:rFonts w:hint="eastAsia"/>
        </w:rPr>
        <w:t>、有关建议</w:t>
      </w:r>
      <w:bookmarkEnd w:id="46"/>
      <w:bookmarkEnd w:id="47"/>
    </w:p>
    <w:p>
      <w:pPr>
        <w:pStyle w:val="5"/>
        <w:bidi w:val="0"/>
        <w:rPr>
          <w:rFonts w:hint="default"/>
          <w:lang w:val="en-US" w:eastAsia="zh-CN"/>
        </w:rPr>
      </w:pPr>
      <w:bookmarkStart w:id="48" w:name="_Toc2929"/>
      <w:r>
        <w:rPr>
          <w:rFonts w:hint="eastAsia"/>
          <w:lang w:eastAsia="zh-CN"/>
        </w:rPr>
        <w:t>（</w:t>
      </w:r>
      <w:r>
        <w:rPr>
          <w:rFonts w:hint="eastAsia"/>
          <w:lang w:val="en-US" w:eastAsia="zh-CN"/>
        </w:rPr>
        <w:t>一</w:t>
      </w:r>
      <w:r>
        <w:rPr>
          <w:rFonts w:hint="eastAsia"/>
          <w:lang w:eastAsia="zh-CN"/>
        </w:rPr>
        <w:t>）</w:t>
      </w:r>
      <w:r>
        <w:rPr>
          <w:rFonts w:hint="eastAsia"/>
          <w:lang w:val="en-US" w:eastAsia="zh-CN"/>
        </w:rPr>
        <w:t>加强监督管理，规范合作社经营</w:t>
      </w:r>
      <w:bookmarkEnd w:id="48"/>
    </w:p>
    <w:p>
      <w:pPr>
        <w:bidi w:val="0"/>
        <w:rPr>
          <w:rFonts w:hint="default"/>
          <w:lang w:val="en-US" w:eastAsia="zh-CN"/>
        </w:rPr>
      </w:pPr>
      <w:r>
        <w:rPr>
          <w:rFonts w:hint="eastAsia"/>
          <w:lang w:val="en-US" w:eastAsia="zh-CN"/>
        </w:rPr>
        <w:t>要构建完善的政府服务体系，政府需正确发挥自身的公共服务职能，通过进行政策支持，宏观引导等诸多形式调动农户的主观能动性，增强合作社组织强度，实现农村资源的整合。主管单位加强对合作社的管理，对合作社经营进行监管。合作社要充分利用广播、电视、报纸、网络会议培训等方式，多层次、多渠道宣传项目建设和成效，提高现代农业的示范引导作用，加强合作社的经营管理。</w:t>
      </w:r>
    </w:p>
    <w:p>
      <w:pPr>
        <w:pStyle w:val="5"/>
        <w:bidi w:val="0"/>
        <w:rPr>
          <w:rFonts w:hint="default"/>
          <w:lang w:val="en-US" w:eastAsia="zh-CN"/>
        </w:rPr>
      </w:pPr>
      <w:bookmarkStart w:id="49" w:name="_Toc19644"/>
      <w:r>
        <w:rPr>
          <w:rFonts w:hint="eastAsia"/>
          <w:lang w:eastAsia="zh-CN"/>
        </w:rPr>
        <w:t>（</w:t>
      </w:r>
      <w:r>
        <w:rPr>
          <w:rFonts w:hint="eastAsia"/>
          <w:lang w:val="en-US" w:eastAsia="zh-CN"/>
        </w:rPr>
        <w:t>二）加强资金绩效管理</w:t>
      </w:r>
      <w:bookmarkEnd w:id="49"/>
    </w:p>
    <w:p>
      <w:pPr>
        <w:keepNext w:val="0"/>
        <w:keepLines w:val="0"/>
        <w:widowControl/>
        <w:suppressLineNumbers w:val="0"/>
        <w:ind w:firstLine="560" w:firstLineChars="200"/>
        <w:jc w:val="left"/>
        <w:rPr>
          <w:rFonts w:hint="eastAsia" w:ascii="仿宋_GB2312" w:hAnsi="仿宋_GB2312" w:eastAsia="仿宋_GB2312" w:cs="仿宋_GB2312"/>
          <w:b w:val="0"/>
          <w:bCs w:val="0"/>
          <w:sz w:val="28"/>
          <w:szCs w:val="32"/>
          <w:lang w:val="en-US" w:eastAsia="zh-CN"/>
        </w:rPr>
      </w:pPr>
      <w:r>
        <w:rPr>
          <w:rFonts w:hint="eastAsia" w:ascii="仿宋_GB2312" w:hAnsi="仿宋_GB2312" w:eastAsia="仿宋_GB2312" w:cs="仿宋_GB2312"/>
          <w:b w:val="0"/>
          <w:bCs w:val="0"/>
          <w:sz w:val="28"/>
          <w:szCs w:val="32"/>
          <w:lang w:val="en-US" w:eastAsia="zh-CN"/>
        </w:rPr>
        <w:t>一是认真贯彻落实《中共中央国务院关于全面实施预算绩效管理的意见》，充分考虑事业发展规划，结合部门工作职责，编制科学合理的项目绩效目标，做到绩效目标明确、细化、量化、合理可行、相应匹配，从而有利于加强财政资金管理的落实和具体化。二是加强预算执行管理工作。及时发现、解决执行过程中存在的问题，确保执行进度和绩效目标的实现。督促项目实施进度，及时发挥财政资金使用效益。</w:t>
      </w:r>
    </w:p>
    <w:p>
      <w:pPr>
        <w:pStyle w:val="5"/>
        <w:bidi w:val="0"/>
        <w:rPr>
          <w:rFonts w:hint="default"/>
          <w:lang w:val="en-US" w:eastAsia="zh-CN"/>
        </w:rPr>
      </w:pPr>
      <w:bookmarkStart w:id="50" w:name="_Toc31098"/>
      <w:r>
        <w:rPr>
          <w:rFonts w:hint="eastAsia"/>
          <w:lang w:eastAsia="zh-CN"/>
        </w:rPr>
        <w:t>（</w:t>
      </w:r>
      <w:r>
        <w:rPr>
          <w:rFonts w:hint="eastAsia"/>
          <w:lang w:val="en-US" w:eastAsia="zh-CN"/>
        </w:rPr>
        <w:t>三</w:t>
      </w:r>
      <w:r>
        <w:rPr>
          <w:rFonts w:hint="eastAsia"/>
          <w:lang w:eastAsia="zh-CN"/>
        </w:rPr>
        <w:t>）</w:t>
      </w:r>
      <w:r>
        <w:rPr>
          <w:rFonts w:hint="eastAsia"/>
          <w:lang w:val="en-US" w:eastAsia="zh-CN"/>
        </w:rPr>
        <w:t>制定相关制度，规范档案管理工作</w:t>
      </w:r>
      <w:bookmarkEnd w:id="50"/>
    </w:p>
    <w:p>
      <w:pPr>
        <w:bidi w:val="0"/>
        <w:rPr>
          <w:rFonts w:hint="default"/>
          <w:lang w:val="en-US" w:eastAsia="zh-CN"/>
        </w:rPr>
      </w:pPr>
      <w:r>
        <w:rPr>
          <w:rFonts w:hint="eastAsia"/>
          <w:lang w:val="en-US" w:eastAsia="zh-CN"/>
        </w:rPr>
        <w:t>贯彻落实《宁武县人民政府办公室关于印发宁武县统筹整合使用财政资金管理暂行办法的通知》的规定，统筹整合财政资金项目，从规划设计、项目审批、招投标或政府采购、施工监督、工程决算、工程验收、项目审计全过程形成的各种文字、图表材料都应纳入档案管理范围内。应该制定单位相关档案管理制度，在工程实际进行过程中，按照管理制度及时整理相关资料，做好备份处理，对项目进行过程中的一切资料都做好存档处理。</w:t>
      </w:r>
    </w:p>
    <w:p>
      <w:pPr>
        <w:bidi w:val="0"/>
        <w:jc w:val="right"/>
        <w:rPr>
          <w:rFonts w:hint="eastAsia"/>
          <w:lang w:val="en-US" w:eastAsia="zh-CN"/>
        </w:rPr>
      </w:pPr>
    </w:p>
    <w:sectPr>
      <w:headerReference r:id="rId7" w:type="default"/>
      <w:footerReference r:id="rId8" w:type="default"/>
      <w:pgSz w:w="11906" w:h="16838"/>
      <w:pgMar w:top="2041" w:right="1417" w:bottom="1417"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66"/>
      </w:tabs>
      <w:snapToGrid w:val="0"/>
      <w:ind w:firstLine="560"/>
      <w:rPr>
        <w:rFonts w:ascii="Calibri" w:hAnsi="Calibri"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66"/>
      </w:tabs>
      <w:snapToGrid w:val="0"/>
      <w:ind w:firstLine="560"/>
      <w:rPr>
        <w:rFonts w:ascii="Calibri" w:hAnsi="Calibri" w:cs="Times New Roman"/>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82600" cy="2476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82600"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5pt;width:38pt;mso-position-horizontal:center;mso-position-horizontal-relative:margin;z-index:251660288;mso-width-relative:page;mso-height-relative:page;" filled="f" stroked="f" coordsize="21600,21600" o:gfxdata="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3nuy3SAAAAAwEAAA8AAAAAAAAAAQAgAAAAIgAAAGRycy9kb3ducmV2LnhtbFBL&#10;AQIUABQAAAAIAIdO4kBaGuWhNQIAAGEEAAAOAAAAAAAAAAEAIAAAACEBAABkcnMvZTJvRG9jLnht&#10;bFBLBQYAAAAABgAGAFkBAADIBQAAAAA=&#10;">
              <v:fill on="f" focussize="0,0"/>
              <v:stroke on="f" weight="0.5pt"/>
              <v:imagedata o:title=""/>
              <o:lock v:ext="edit" aspectratio="f"/>
              <v:textbox inset="0mm,0mm,0mm,0mm">
                <w:txbxContent>
                  <w:p>
                    <w:pPr>
                      <w:pStyle w:val="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8"/>
                      <w:rPr>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0" w:leftChars="0" w:firstLine="0" w:firstLineChars="0"/>
      <w:jc w:val="both"/>
      <w:rPr>
        <w:rFonts w:hint="default" w:ascii="宋体" w:hAnsi="宋体" w:eastAsia="宋体" w:cs="宋体"/>
        <w:sz w:val="24"/>
        <w:szCs w:val="24"/>
        <w:u w:val="non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left="0" w:leftChars="0" w:firstLine="0" w:firstLineChars="0"/>
      <w:jc w:val="center"/>
      <w:rPr>
        <w:rFonts w:hint="eastAsia" w:ascii="宋体" w:hAnsi="宋体" w:eastAsia="宋体" w:cs="宋体"/>
        <w:sz w:val="24"/>
        <w:szCs w:val="24"/>
        <w:u w:val="none"/>
        <w:lang w:val="en-US" w:eastAsia="zh-CN"/>
      </w:rPr>
    </w:pPr>
  </w:p>
  <w:p>
    <w:pPr>
      <w:pStyle w:val="9"/>
      <w:pBdr>
        <w:bottom w:val="single" w:color="auto" w:sz="4" w:space="1"/>
      </w:pBdr>
      <w:ind w:left="0" w:leftChars="0" w:firstLine="0" w:firstLineChars="0"/>
      <w:jc w:val="center"/>
      <w:rPr>
        <w:rFonts w:hint="default" w:ascii="宋体" w:hAnsi="宋体" w:eastAsia="宋体" w:cs="宋体"/>
        <w:sz w:val="22"/>
        <w:szCs w:val="22"/>
        <w:u w:val="none"/>
        <w:lang w:val="en-US" w:eastAsia="zh-CN"/>
      </w:rPr>
    </w:pPr>
    <w:r>
      <w:rPr>
        <w:sz w:val="22"/>
        <w:szCs w:val="22"/>
      </w:rPr>
      <w:drawing>
        <wp:inline distT="0" distB="0" distL="114300" distR="114300">
          <wp:extent cx="240665" cy="2406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u w:val="none"/>
        <w:lang w:val="en-US" w:eastAsia="zh-CN"/>
      </w:rPr>
      <w:t>宁武县石家庄镇人民政府2020年统筹整合财政资金绩效评价报告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3FA16850"/>
    <w:rsid w:val="004B3B5B"/>
    <w:rsid w:val="018C0889"/>
    <w:rsid w:val="01B3676F"/>
    <w:rsid w:val="01ED78BC"/>
    <w:rsid w:val="02B94671"/>
    <w:rsid w:val="04287EDE"/>
    <w:rsid w:val="048F4139"/>
    <w:rsid w:val="050254D2"/>
    <w:rsid w:val="054D2E98"/>
    <w:rsid w:val="05D47A74"/>
    <w:rsid w:val="06214574"/>
    <w:rsid w:val="06252DE1"/>
    <w:rsid w:val="07577FFE"/>
    <w:rsid w:val="08C571E9"/>
    <w:rsid w:val="092F73AC"/>
    <w:rsid w:val="09886B94"/>
    <w:rsid w:val="09FD3312"/>
    <w:rsid w:val="0B215008"/>
    <w:rsid w:val="0B3D44F9"/>
    <w:rsid w:val="0C5441C7"/>
    <w:rsid w:val="0CFA7F7E"/>
    <w:rsid w:val="0D1E642E"/>
    <w:rsid w:val="0DF67971"/>
    <w:rsid w:val="0E5C6EEE"/>
    <w:rsid w:val="0E5E1C72"/>
    <w:rsid w:val="0ED63EFE"/>
    <w:rsid w:val="0FC95811"/>
    <w:rsid w:val="0FE51AF2"/>
    <w:rsid w:val="10094073"/>
    <w:rsid w:val="102708A7"/>
    <w:rsid w:val="106F3AB7"/>
    <w:rsid w:val="10B9141E"/>
    <w:rsid w:val="10DC07D8"/>
    <w:rsid w:val="11A36A07"/>
    <w:rsid w:val="136C40F2"/>
    <w:rsid w:val="145F415C"/>
    <w:rsid w:val="147D4BDA"/>
    <w:rsid w:val="150F3CEC"/>
    <w:rsid w:val="16061850"/>
    <w:rsid w:val="16745417"/>
    <w:rsid w:val="18E33937"/>
    <w:rsid w:val="199B4B42"/>
    <w:rsid w:val="19F2656F"/>
    <w:rsid w:val="1A623B2E"/>
    <w:rsid w:val="1C9754B9"/>
    <w:rsid w:val="1CC46138"/>
    <w:rsid w:val="1D38211C"/>
    <w:rsid w:val="1D726F72"/>
    <w:rsid w:val="1DB15E42"/>
    <w:rsid w:val="1DD07604"/>
    <w:rsid w:val="1E141CD4"/>
    <w:rsid w:val="1E401043"/>
    <w:rsid w:val="1ED24B75"/>
    <w:rsid w:val="1F06274F"/>
    <w:rsid w:val="20A91472"/>
    <w:rsid w:val="20E73D3C"/>
    <w:rsid w:val="21562C7C"/>
    <w:rsid w:val="221A1EB6"/>
    <w:rsid w:val="234666A2"/>
    <w:rsid w:val="239A1546"/>
    <w:rsid w:val="25237319"/>
    <w:rsid w:val="25AC5C7D"/>
    <w:rsid w:val="25FF7D86"/>
    <w:rsid w:val="261B147A"/>
    <w:rsid w:val="261C2E4C"/>
    <w:rsid w:val="272313EA"/>
    <w:rsid w:val="27803BCA"/>
    <w:rsid w:val="27D843EB"/>
    <w:rsid w:val="281E7ADC"/>
    <w:rsid w:val="29C973BF"/>
    <w:rsid w:val="2A887A10"/>
    <w:rsid w:val="2BF70996"/>
    <w:rsid w:val="2CEF68AA"/>
    <w:rsid w:val="2CF16562"/>
    <w:rsid w:val="2E9D4C45"/>
    <w:rsid w:val="2F1207C2"/>
    <w:rsid w:val="2F9B35FF"/>
    <w:rsid w:val="2F9C5B54"/>
    <w:rsid w:val="30097BB9"/>
    <w:rsid w:val="30764CD5"/>
    <w:rsid w:val="313A1C72"/>
    <w:rsid w:val="32466B0F"/>
    <w:rsid w:val="332F1722"/>
    <w:rsid w:val="344352E2"/>
    <w:rsid w:val="346E60B2"/>
    <w:rsid w:val="35054EFB"/>
    <w:rsid w:val="35ED19A9"/>
    <w:rsid w:val="36971C4A"/>
    <w:rsid w:val="36BA1C1F"/>
    <w:rsid w:val="37734F03"/>
    <w:rsid w:val="389C50F9"/>
    <w:rsid w:val="394E7357"/>
    <w:rsid w:val="39D10C0F"/>
    <w:rsid w:val="3ACF7F5A"/>
    <w:rsid w:val="3B231140"/>
    <w:rsid w:val="3CB07881"/>
    <w:rsid w:val="3D7E1B31"/>
    <w:rsid w:val="3D8F3209"/>
    <w:rsid w:val="3E097578"/>
    <w:rsid w:val="3E1E3B3A"/>
    <w:rsid w:val="3E773B26"/>
    <w:rsid w:val="3EC81AF2"/>
    <w:rsid w:val="3EDE6245"/>
    <w:rsid w:val="3F23643C"/>
    <w:rsid w:val="3F570643"/>
    <w:rsid w:val="3F7F191D"/>
    <w:rsid w:val="3FA16850"/>
    <w:rsid w:val="3FDB40E4"/>
    <w:rsid w:val="40B52FCB"/>
    <w:rsid w:val="41256B49"/>
    <w:rsid w:val="4166191F"/>
    <w:rsid w:val="41E61E98"/>
    <w:rsid w:val="42325E07"/>
    <w:rsid w:val="42FB6118"/>
    <w:rsid w:val="43210EE4"/>
    <w:rsid w:val="43617FE6"/>
    <w:rsid w:val="43F53C6B"/>
    <w:rsid w:val="451E5E12"/>
    <w:rsid w:val="454E4A01"/>
    <w:rsid w:val="468A02C5"/>
    <w:rsid w:val="49997694"/>
    <w:rsid w:val="49BD1F0C"/>
    <w:rsid w:val="4A4237FC"/>
    <w:rsid w:val="4B3B0B35"/>
    <w:rsid w:val="4C981F3F"/>
    <w:rsid w:val="4CA56F10"/>
    <w:rsid w:val="4E1A6EE4"/>
    <w:rsid w:val="4EA25595"/>
    <w:rsid w:val="4F05790C"/>
    <w:rsid w:val="502426BE"/>
    <w:rsid w:val="503A2E12"/>
    <w:rsid w:val="50F8608F"/>
    <w:rsid w:val="52C55B19"/>
    <w:rsid w:val="52E3672B"/>
    <w:rsid w:val="53762A53"/>
    <w:rsid w:val="54223ABD"/>
    <w:rsid w:val="5472334E"/>
    <w:rsid w:val="54AA164C"/>
    <w:rsid w:val="552C743B"/>
    <w:rsid w:val="55607DB9"/>
    <w:rsid w:val="57F93719"/>
    <w:rsid w:val="5A2667F9"/>
    <w:rsid w:val="5B4471B3"/>
    <w:rsid w:val="5B5105B5"/>
    <w:rsid w:val="5BAB104F"/>
    <w:rsid w:val="5BBD1E9B"/>
    <w:rsid w:val="5C1908C3"/>
    <w:rsid w:val="5CDE5040"/>
    <w:rsid w:val="5D5A1613"/>
    <w:rsid w:val="5D830DFA"/>
    <w:rsid w:val="5DFF582D"/>
    <w:rsid w:val="5EA30FCD"/>
    <w:rsid w:val="5EA84CB6"/>
    <w:rsid w:val="5EAE52FA"/>
    <w:rsid w:val="5EE401A9"/>
    <w:rsid w:val="5F1A2F60"/>
    <w:rsid w:val="615D0EE2"/>
    <w:rsid w:val="61E4309E"/>
    <w:rsid w:val="62B64D4D"/>
    <w:rsid w:val="63231CA3"/>
    <w:rsid w:val="63A91FBA"/>
    <w:rsid w:val="63EF5F9B"/>
    <w:rsid w:val="65E41FCF"/>
    <w:rsid w:val="680E4B91"/>
    <w:rsid w:val="683C102F"/>
    <w:rsid w:val="6B476A2B"/>
    <w:rsid w:val="6BAD478F"/>
    <w:rsid w:val="6C36516A"/>
    <w:rsid w:val="6CCA6AF1"/>
    <w:rsid w:val="6CE10C19"/>
    <w:rsid w:val="6DE4144A"/>
    <w:rsid w:val="6E163E80"/>
    <w:rsid w:val="6E387A96"/>
    <w:rsid w:val="6E77414E"/>
    <w:rsid w:val="6E902F05"/>
    <w:rsid w:val="6E9D29EB"/>
    <w:rsid w:val="6ED735D7"/>
    <w:rsid w:val="6EE778C4"/>
    <w:rsid w:val="6F08492E"/>
    <w:rsid w:val="6F6726B1"/>
    <w:rsid w:val="6F780C2B"/>
    <w:rsid w:val="6FD412F1"/>
    <w:rsid w:val="70010A27"/>
    <w:rsid w:val="70221C74"/>
    <w:rsid w:val="703933A0"/>
    <w:rsid w:val="70403A45"/>
    <w:rsid w:val="70432324"/>
    <w:rsid w:val="70636ADF"/>
    <w:rsid w:val="71987116"/>
    <w:rsid w:val="728704B4"/>
    <w:rsid w:val="729B2130"/>
    <w:rsid w:val="729B5D0E"/>
    <w:rsid w:val="73CF4AD5"/>
    <w:rsid w:val="743676C7"/>
    <w:rsid w:val="74A470FC"/>
    <w:rsid w:val="74A87D68"/>
    <w:rsid w:val="74C8335E"/>
    <w:rsid w:val="751E623A"/>
    <w:rsid w:val="754664D2"/>
    <w:rsid w:val="75774C88"/>
    <w:rsid w:val="75CE5429"/>
    <w:rsid w:val="760D40A0"/>
    <w:rsid w:val="762A377C"/>
    <w:rsid w:val="76305714"/>
    <w:rsid w:val="76327E5B"/>
    <w:rsid w:val="76EC08E6"/>
    <w:rsid w:val="7809037B"/>
    <w:rsid w:val="7810395D"/>
    <w:rsid w:val="78F54F05"/>
    <w:rsid w:val="79BF7D7B"/>
    <w:rsid w:val="7A28257D"/>
    <w:rsid w:val="7A4B0463"/>
    <w:rsid w:val="7AF7517A"/>
    <w:rsid w:val="7B9F25DB"/>
    <w:rsid w:val="7C6949D0"/>
    <w:rsid w:val="7CB8302E"/>
    <w:rsid w:val="7D061BA0"/>
    <w:rsid w:val="7E4636BC"/>
    <w:rsid w:val="7EBD11A4"/>
    <w:rsid w:val="7FFB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仿宋_GB2312" w:hAnsi="仿宋_GB2312" w:eastAsia="仿宋_GB2312" w:cstheme="minorBidi"/>
      <w:kern w:val="2"/>
      <w:sz w:val="28"/>
      <w:szCs w:val="24"/>
      <w:lang w:val="en-US" w:eastAsia="zh-CN" w:bidi="ar-SA"/>
    </w:rPr>
  </w:style>
  <w:style w:type="paragraph" w:styleId="4">
    <w:name w:val="heading 1"/>
    <w:basedOn w:val="1"/>
    <w:next w:val="1"/>
    <w:qFormat/>
    <w:uiPriority w:val="0"/>
    <w:pPr>
      <w:keepNext/>
      <w:keepLines/>
      <w:outlineLvl w:val="0"/>
    </w:pPr>
    <w:rPr>
      <w:rFonts w:eastAsia="黑体"/>
      <w:bCs/>
      <w:kern w:val="44"/>
      <w:szCs w:val="44"/>
    </w:rPr>
  </w:style>
  <w:style w:type="paragraph" w:styleId="5">
    <w:name w:val="heading 2"/>
    <w:basedOn w:val="1"/>
    <w:next w:val="1"/>
    <w:unhideWhenUsed/>
    <w:qFormat/>
    <w:uiPriority w:val="0"/>
    <w:pPr>
      <w:keepNext/>
      <w:keepLines/>
      <w:outlineLvl w:val="1"/>
    </w:pPr>
    <w:rPr>
      <w:rFonts w:eastAsia="楷体_GB2312"/>
    </w:rPr>
  </w:style>
  <w:style w:type="paragraph" w:styleId="6">
    <w:name w:val="heading 3"/>
    <w:basedOn w:val="1"/>
    <w:next w:val="1"/>
    <w:unhideWhenUsed/>
    <w:qFormat/>
    <w:uiPriority w:val="0"/>
    <w:pPr>
      <w:keepLines/>
      <w:outlineLvl w:val="2"/>
    </w:pPr>
    <w:rPr>
      <w:b/>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7">
    <w:name w:val="annotation text"/>
    <w:qFormat/>
    <w:uiPriority w:val="0"/>
    <w:pPr>
      <w:widowControl w:val="0"/>
    </w:pPr>
    <w:rPr>
      <w:rFonts w:ascii="Times New Roman" w:hAnsi="Times New Roman" w:eastAsia="宋体" w:cs="Times New Roman"/>
      <w:kern w:val="2"/>
      <w:sz w:val="21"/>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font41"/>
    <w:basedOn w:val="15"/>
    <w:qFormat/>
    <w:uiPriority w:val="0"/>
    <w:rPr>
      <w:rFonts w:hint="eastAsia" w:ascii="宋体" w:hAnsi="宋体" w:eastAsia="宋体" w:cs="宋体"/>
      <w:b/>
      <w:bCs/>
      <w:color w:val="000000"/>
      <w:sz w:val="20"/>
      <w:szCs w:val="20"/>
      <w:u w:val="none"/>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Table Paragraph"/>
    <w:basedOn w:val="1"/>
    <w:qFormat/>
    <w:uiPriority w:val="1"/>
    <w:rPr>
      <w:rFonts w:ascii="宋体" w:hAnsi="宋体" w:eastAsia="宋体" w:cs="宋体"/>
      <w:lang w:val="zh-CN" w:eastAsia="zh-CN" w:bidi="zh-CN"/>
    </w:rPr>
  </w:style>
  <w:style w:type="character" w:customStyle="1" w:styleId="20">
    <w:name w:val="font61"/>
    <w:basedOn w:val="15"/>
    <w:qFormat/>
    <w:uiPriority w:val="0"/>
    <w:rPr>
      <w:rFonts w:hint="eastAsia" w:ascii="宋体" w:hAnsi="宋体" w:eastAsia="宋体" w:cs="宋体"/>
      <w:color w:val="000000"/>
      <w:sz w:val="20"/>
      <w:szCs w:val="20"/>
      <w:u w:val="none"/>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6019</Words>
  <Characters>6370</Characters>
  <Lines>0</Lines>
  <Paragraphs>0</Paragraphs>
  <TotalTime>3</TotalTime>
  <ScaleCrop>false</ScaleCrop>
  <LinksUpToDate>false</LinksUpToDate>
  <CharactersWithSpaces>6378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2021-09-08T02:29:00Z</dcterms:created>
  <dc:creator>跟空气撒个娇</dc:creator>
  <cp:lastModifiedBy>查杰。</cp:lastModifiedBy>
  <dcterms:modified xsi:type="dcterms:W3CDTF">2022-09-13T10:39:37Z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B7FB5FC5809948F7AB240A939BFE6A4E</vt:lpwstr>
  </property>
  <property fmtid="{D5CDD505-2E9C-101B-9397-08002B2CF9AE}" pid="4" name="commondata">
    <vt:lpwstr>eyJoZGlkIjoiZGEzODMyZDcyZDEwMzlkZjk5ZGMzOWYxMzM5MDgxMDMifQ==</vt:lpwstr>
  </property>
</Properties>
</file>