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lang w:val="en-US" w:eastAsia="zh-CN"/>
        </w:rPr>
        <w:t xml:space="preserve"> </w:t>
      </w:r>
    </w:p>
    <w:p>
      <w:pPr>
        <w:pStyle w:val="2"/>
      </w:pPr>
    </w:p>
    <w:p>
      <w:pPr>
        <w:ind w:firstLine="0" w:firstLineChars="0"/>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宁武县水利水保局2020年统筹整合</w:t>
      </w:r>
    </w:p>
    <w:p>
      <w:pPr>
        <w:ind w:firstLine="0" w:firstLineChars="0"/>
        <w:jc w:val="center"/>
        <w:rPr>
          <w:rFonts w:hint="eastAsia" w:ascii="方正小标宋简体" w:eastAsia="方正小标宋简体"/>
          <w:sz w:val="44"/>
          <w:szCs w:val="44"/>
          <w:lang w:val="en-US" w:eastAsia="zh-CN"/>
        </w:rPr>
      </w:pPr>
      <w:r>
        <w:rPr>
          <w:rFonts w:hint="eastAsia" w:ascii="方正小标宋简体" w:eastAsia="方正小标宋简体"/>
          <w:sz w:val="44"/>
          <w:szCs w:val="44"/>
          <w:lang w:val="en-US" w:eastAsia="zh-CN"/>
        </w:rPr>
        <w:t>财政资金绩效评价报告</w:t>
      </w:r>
    </w:p>
    <w:p>
      <w:pPr>
        <w:pStyle w:val="2"/>
      </w:pPr>
    </w:p>
    <w:p/>
    <w:p/>
    <w:p/>
    <w:p>
      <w:pPr>
        <w:pStyle w:val="2"/>
      </w:pPr>
    </w:p>
    <w:p/>
    <w:p>
      <w:pPr>
        <w:pStyle w:val="2"/>
      </w:pPr>
    </w:p>
    <w:p>
      <w:pPr>
        <w:pStyle w:val="3"/>
        <w:ind w:left="0" w:leftChars="0" w:firstLine="0" w:firstLineChars="0"/>
      </w:pPr>
    </w:p>
    <w:p>
      <w:pPr>
        <w:ind w:firstLine="640"/>
        <w:rPr>
          <w:rFonts w:hint="default" w:ascii="黑体" w:hAnsi="黑体" w:eastAsia="黑体"/>
          <w:sz w:val="32"/>
          <w:szCs w:val="32"/>
          <w:lang w:val="en-US" w:eastAsia="zh-CN"/>
        </w:rPr>
      </w:pPr>
      <w:r>
        <w:rPr>
          <w:rFonts w:hint="eastAsia" w:ascii="黑体" w:hAnsi="黑体" w:eastAsia="黑体"/>
          <w:sz w:val="32"/>
          <w:szCs w:val="32"/>
          <w:lang w:val="en-US" w:eastAsia="zh-CN"/>
        </w:rPr>
        <w:t>单位名称</w:t>
      </w:r>
      <w:r>
        <w:rPr>
          <w:rFonts w:hint="eastAsia" w:ascii="黑体" w:hAnsi="黑体" w:eastAsia="黑体"/>
          <w:sz w:val="32"/>
          <w:szCs w:val="32"/>
        </w:rPr>
        <w:t>：</w:t>
      </w:r>
      <w:r>
        <w:rPr>
          <w:rFonts w:hint="eastAsia" w:ascii="黑体" w:hAnsi="黑体" w:eastAsia="黑体"/>
          <w:sz w:val="32"/>
          <w:szCs w:val="32"/>
          <w:lang w:val="en-US" w:eastAsia="zh-CN"/>
        </w:rPr>
        <w:t>宁武县水利水保局</w:t>
      </w:r>
    </w:p>
    <w:p>
      <w:pPr>
        <w:ind w:firstLine="640"/>
        <w:rPr>
          <w:rFonts w:ascii="黑体" w:hAnsi="黑体" w:eastAsia="黑体"/>
          <w:sz w:val="32"/>
          <w:szCs w:val="32"/>
        </w:rPr>
      </w:pPr>
      <w:r>
        <w:rPr>
          <w:rFonts w:hint="eastAsia" w:ascii="黑体" w:hAnsi="黑体" w:eastAsia="黑体"/>
          <w:sz w:val="32"/>
          <w:szCs w:val="32"/>
        </w:rPr>
        <w:t>委托单位：</w:t>
      </w:r>
      <w:r>
        <w:rPr>
          <w:rFonts w:hint="eastAsia" w:ascii="黑体" w:hAnsi="黑体" w:eastAsia="黑体"/>
          <w:sz w:val="32"/>
          <w:szCs w:val="32"/>
          <w:lang w:val="en-US" w:eastAsia="zh-CN"/>
        </w:rPr>
        <w:t>宁武县财政局</w:t>
      </w:r>
    </w:p>
    <w:p>
      <w:pPr>
        <w:ind w:firstLine="640"/>
        <w:rPr>
          <w:rFonts w:ascii="黑体" w:hAnsi="黑体" w:eastAsia="黑体"/>
          <w:sz w:val="32"/>
          <w:szCs w:val="32"/>
        </w:rPr>
      </w:pPr>
      <w:r>
        <w:rPr>
          <w:rFonts w:hint="eastAsia" w:ascii="黑体" w:hAnsi="黑体" w:eastAsia="黑体"/>
          <w:sz w:val="32"/>
          <w:szCs w:val="32"/>
        </w:rPr>
        <w:t xml:space="preserve">评价机构：山西亚泰会计师事务所有限公司              </w:t>
      </w:r>
    </w:p>
    <w:p>
      <w:pPr>
        <w:ind w:firstLine="640"/>
      </w:pPr>
      <w:r>
        <w:rPr>
          <w:rFonts w:hint="eastAsia" w:ascii="黑体" w:hAnsi="黑体" w:eastAsia="黑体"/>
          <w:sz w:val="32"/>
          <w:szCs w:val="32"/>
          <w:lang w:val="en-US" w:eastAsia="zh-CN"/>
        </w:rPr>
        <w:t xml:space="preserve"> </w:t>
      </w:r>
    </w:p>
    <w:p>
      <w:pPr>
        <w:ind w:firstLine="0" w:firstLineChars="0"/>
        <w:jc w:val="center"/>
        <w:rPr>
          <w:rFonts w:ascii="黑体" w:hAnsi="黑体" w:eastAsia="黑体" w:cs="仿宋_GB2312"/>
          <w:sz w:val="32"/>
          <w:szCs w:val="32"/>
        </w:rPr>
      </w:pPr>
      <w:r>
        <w:rPr>
          <w:rFonts w:hint="eastAsia" w:ascii="黑体" w:hAnsi="黑体" w:eastAsia="黑体"/>
          <w:sz w:val="32"/>
          <w:szCs w:val="32"/>
        </w:rPr>
        <w:t>二</w:t>
      </w:r>
      <w:r>
        <w:rPr>
          <w:rFonts w:hint="eastAsia" w:ascii="黑体" w:hAnsi="黑体" w:eastAsia="黑体" w:cs="宋体"/>
          <w:sz w:val="32"/>
          <w:szCs w:val="32"/>
        </w:rPr>
        <w:t>〇</w:t>
      </w:r>
      <w:r>
        <w:rPr>
          <w:rFonts w:hint="eastAsia" w:ascii="黑体" w:hAnsi="黑体" w:eastAsia="黑体" w:cs="仿宋_GB2312"/>
          <w:sz w:val="32"/>
          <w:szCs w:val="32"/>
        </w:rPr>
        <w:t>二</w:t>
      </w:r>
      <w:r>
        <w:rPr>
          <w:rFonts w:hint="eastAsia" w:ascii="黑体" w:hAnsi="黑体" w:eastAsia="黑体" w:cs="仿宋_GB2312"/>
          <w:sz w:val="32"/>
          <w:szCs w:val="32"/>
          <w:lang w:val="en-US" w:eastAsia="zh-CN"/>
        </w:rPr>
        <w:t>一</w:t>
      </w:r>
      <w:r>
        <w:rPr>
          <w:rFonts w:hint="eastAsia" w:ascii="黑体" w:hAnsi="黑体" w:eastAsia="黑体" w:cs="仿宋_GB2312"/>
          <w:sz w:val="32"/>
          <w:szCs w:val="32"/>
        </w:rPr>
        <w:t>年</w:t>
      </w:r>
      <w:r>
        <w:rPr>
          <w:rFonts w:hint="eastAsia" w:ascii="黑体" w:hAnsi="黑体" w:eastAsia="黑体" w:cs="仿宋_GB2312"/>
          <w:sz w:val="32"/>
          <w:szCs w:val="32"/>
          <w:lang w:val="en-US" w:eastAsia="zh-CN"/>
        </w:rPr>
        <w:t>十</w:t>
      </w:r>
      <w:r>
        <w:rPr>
          <w:rFonts w:hint="eastAsia" w:ascii="黑体" w:hAnsi="黑体" w:eastAsia="黑体" w:cs="仿宋_GB2312"/>
          <w:sz w:val="32"/>
          <w:szCs w:val="32"/>
        </w:rPr>
        <w:t>月</w:t>
      </w:r>
    </w:p>
    <w:p>
      <w:r>
        <w:rPr>
          <w:rFonts w:hint="eastAsia" w:ascii="方正小标宋简体" w:eastAsia="方正小标宋简体"/>
          <w:sz w:val="36"/>
          <w:szCs w:val="36"/>
        </w:rPr>
        <w:br w:type="page"/>
      </w:r>
    </w:p>
    <w:p>
      <w:pPr>
        <w:pStyle w:val="12"/>
        <w:keepNext w:val="0"/>
        <w:keepLines w:val="0"/>
        <w:pageBreakBefore w:val="0"/>
        <w:widowControl w:val="0"/>
        <w:tabs>
          <w:tab w:val="right" w:leader="dot" w:pos="8956"/>
        </w:tabs>
        <w:kinsoku/>
        <w:wordWrap/>
        <w:overflowPunct/>
        <w:topLinePunct w:val="0"/>
        <w:autoSpaceDE/>
        <w:autoSpaceDN/>
        <w:bidi w:val="0"/>
        <w:adjustRightInd/>
        <w:snapToGrid/>
        <w:ind w:left="0" w:leftChars="0" w:firstLine="0" w:firstLineChars="0"/>
        <w:textAlignment w:val="auto"/>
        <w:rPr>
          <w:b/>
        </w:rPr>
        <w:sectPr>
          <w:headerReference r:id="rId6" w:type="first"/>
          <w:headerReference r:id="rId5" w:type="default"/>
          <w:footerReference r:id="rId7" w:type="default"/>
          <w:pgSz w:w="11905" w:h="16838"/>
          <w:pgMar w:top="2041" w:right="1418" w:bottom="1418" w:left="1531" w:header="850" w:footer="992" w:gutter="0"/>
          <w:pgBorders>
            <w:top w:val="none" w:sz="0" w:space="0"/>
            <w:left w:val="none" w:sz="0" w:space="0"/>
            <w:bottom w:val="none" w:sz="0" w:space="0"/>
            <w:right w:val="none" w:sz="0" w:space="0"/>
          </w:pgBorders>
          <w:pgNumType w:fmt="decimal" w:start="1"/>
          <w:cols w:space="720" w:num="1"/>
          <w:titlePg/>
          <w:docGrid w:linePitch="312" w:charSpace="0"/>
        </w:sectPr>
      </w:pPr>
      <w:bookmarkStart w:id="0" w:name="_Toc20311"/>
    </w:p>
    <w:bookmarkEnd w:id="0"/>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eastAsia" w:ascii="方正小标宋简体" w:eastAsia="方正小标宋简体"/>
          <w:sz w:val="36"/>
          <w:szCs w:val="36"/>
          <w:lang w:val="en-US" w:eastAsia="zh-CN"/>
        </w:rPr>
      </w:pPr>
      <w:r>
        <w:rPr>
          <w:rFonts w:hint="eastAsia" w:ascii="方正小标宋简体" w:eastAsia="方正小标宋简体"/>
          <w:sz w:val="36"/>
          <w:szCs w:val="36"/>
          <w:lang w:val="en-US" w:eastAsia="zh-CN"/>
        </w:rPr>
        <w:t>宁武县水利水保局2020年统筹整合</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sz w:val="36"/>
          <w:szCs w:val="36"/>
        </w:rPr>
      </w:pPr>
      <w:r>
        <w:rPr>
          <w:rFonts w:hint="eastAsia" w:ascii="方正小标宋简体" w:eastAsia="方正小标宋简体"/>
          <w:sz w:val="36"/>
          <w:szCs w:val="36"/>
          <w:lang w:val="en-US" w:eastAsia="zh-CN"/>
        </w:rPr>
        <w:t>财政资金绩效评价报告</w:t>
      </w:r>
    </w:p>
    <w:p>
      <w:pPr>
        <w:pStyle w:val="1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both"/>
        <w:textAlignment w:val="auto"/>
        <w:outlineLvl w:val="9"/>
        <w:rPr>
          <w:rFonts w:ascii="宋体" w:hAnsi="宋体" w:eastAsia="宋体" w:cs="宋体"/>
          <w:sz w:val="24"/>
          <w:szCs w:val="24"/>
        </w:rPr>
      </w:pPr>
      <w:bookmarkStart w:id="1" w:name="_Toc6992"/>
      <w:r>
        <w:rPr>
          <w:rFonts w:hint="eastAsia" w:ascii="仿宋_GB2312" w:hAnsi="仿宋_GB2312" w:eastAsia="仿宋_GB2312" w:cs="仿宋_GB2312"/>
          <w:sz w:val="28"/>
          <w:szCs w:val="28"/>
        </w:rPr>
        <w:t>根据《中华人民共和国预算法》规定，按照《中共山西省委 山西省人民政府关于全面实施预算绩效管理的实施意见》（晋发〔2018〕39号）、山西省财政厅《省级项目支出绩效评价管理办法》（晋财绩〔2020〕17号）的要求，受</w:t>
      </w:r>
      <w:r>
        <w:rPr>
          <w:rFonts w:hint="eastAsia" w:hAnsi="仿宋_GB2312" w:cs="仿宋_GB2312"/>
          <w:sz w:val="28"/>
          <w:szCs w:val="28"/>
          <w:lang w:val="en-US" w:eastAsia="zh-CN"/>
        </w:rPr>
        <w:t>宁武县财政局</w:t>
      </w:r>
      <w:r>
        <w:rPr>
          <w:rFonts w:hint="eastAsia" w:ascii="仿宋_GB2312" w:hAnsi="仿宋_GB2312" w:eastAsia="仿宋_GB2312" w:cs="仿宋_GB2312"/>
          <w:sz w:val="28"/>
          <w:szCs w:val="28"/>
        </w:rPr>
        <w:t>委托，山西</w:t>
      </w:r>
      <w:r>
        <w:rPr>
          <w:rFonts w:hint="eastAsia" w:hAnsi="仿宋_GB2312" w:cs="仿宋_GB2312"/>
          <w:sz w:val="28"/>
          <w:szCs w:val="28"/>
          <w:lang w:val="en-US" w:eastAsia="zh-CN"/>
        </w:rPr>
        <w:t>亚泰会计师事务所</w:t>
      </w:r>
      <w:r>
        <w:rPr>
          <w:rFonts w:hint="eastAsia" w:ascii="仿宋_GB2312" w:hAnsi="仿宋_GB2312" w:eastAsia="仿宋_GB2312" w:cs="仿宋_GB2312"/>
          <w:sz w:val="28"/>
          <w:szCs w:val="28"/>
        </w:rPr>
        <w:t>有限公司</w:t>
      </w:r>
      <w:r>
        <w:rPr>
          <w:rFonts w:hint="eastAsia" w:ascii="仿宋_GB2312" w:hAnsi="仿宋_GB2312" w:eastAsia="仿宋_GB2312" w:cs="仿宋_GB2312"/>
          <w:i w:val="0"/>
          <w:iCs w:val="0"/>
          <w:caps w:val="0"/>
          <w:color w:val="000000"/>
          <w:spacing w:val="0"/>
          <w:sz w:val="28"/>
          <w:szCs w:val="27"/>
          <w:highlight w:val="none"/>
          <w:u w:val="none"/>
          <w:lang w:val="en-US" w:eastAsia="zh-CN"/>
        </w:rPr>
        <w:t>于</w:t>
      </w:r>
      <w:r>
        <w:rPr>
          <w:rFonts w:hint="eastAsia" w:hAnsi="仿宋_GB2312" w:eastAsia="仿宋_GB2312" w:cs="仿宋_GB2312"/>
          <w:i w:val="0"/>
          <w:iCs w:val="0"/>
          <w:caps w:val="0"/>
          <w:color w:val="000000"/>
          <w:spacing w:val="0"/>
          <w:sz w:val="28"/>
          <w:szCs w:val="27"/>
          <w:highlight w:val="none"/>
          <w:u w:val="none"/>
          <w:lang w:val="en-US" w:eastAsia="zh-CN"/>
        </w:rPr>
        <w:t>2021</w:t>
      </w:r>
      <w:r>
        <w:rPr>
          <w:rFonts w:hint="eastAsia" w:ascii="仿宋_GB2312" w:hAnsi="仿宋_GB2312" w:eastAsia="仿宋_GB2312" w:cs="仿宋_GB2312"/>
          <w:i w:val="0"/>
          <w:iCs w:val="0"/>
          <w:caps w:val="0"/>
          <w:color w:val="000000"/>
          <w:spacing w:val="0"/>
          <w:sz w:val="28"/>
          <w:szCs w:val="27"/>
          <w:highlight w:val="none"/>
          <w:u w:val="none"/>
          <w:lang w:val="en-US" w:eastAsia="zh-CN"/>
        </w:rPr>
        <w:t>年</w:t>
      </w:r>
      <w:r>
        <w:rPr>
          <w:rFonts w:hint="eastAsia" w:hAnsi="仿宋_GB2312" w:cs="仿宋_GB2312"/>
          <w:i w:val="0"/>
          <w:iCs w:val="0"/>
          <w:caps w:val="0"/>
          <w:color w:val="000000"/>
          <w:spacing w:val="0"/>
          <w:sz w:val="28"/>
          <w:szCs w:val="27"/>
          <w:highlight w:val="none"/>
          <w:u w:val="none"/>
          <w:lang w:val="en-US" w:eastAsia="zh-CN"/>
        </w:rPr>
        <w:t>7</w:t>
      </w:r>
      <w:r>
        <w:rPr>
          <w:rFonts w:hint="eastAsia" w:ascii="仿宋_GB2312" w:hAnsi="仿宋_GB2312" w:eastAsia="仿宋_GB2312" w:cs="仿宋_GB2312"/>
          <w:i w:val="0"/>
          <w:iCs w:val="0"/>
          <w:caps w:val="0"/>
          <w:color w:val="000000"/>
          <w:spacing w:val="0"/>
          <w:sz w:val="28"/>
          <w:szCs w:val="27"/>
          <w:highlight w:val="none"/>
          <w:u w:val="none"/>
          <w:lang w:val="en-US" w:eastAsia="zh-CN"/>
        </w:rPr>
        <w:t>月</w:t>
      </w:r>
      <w:r>
        <w:rPr>
          <w:rFonts w:hint="eastAsia" w:ascii="仿宋_GB2312" w:hAnsi="仿宋_GB2312" w:eastAsia="仿宋_GB2312" w:cs="仿宋_GB2312"/>
          <w:sz w:val="28"/>
          <w:szCs w:val="28"/>
        </w:rPr>
        <w:t>对</w:t>
      </w:r>
      <w:r>
        <w:rPr>
          <w:rFonts w:hint="eastAsia" w:hAnsi="仿宋_GB2312" w:cs="仿宋_GB2312"/>
          <w:sz w:val="28"/>
          <w:szCs w:val="28"/>
          <w:lang w:val="en-US" w:eastAsia="zh-CN"/>
        </w:rPr>
        <w:t>宁武县水利水保局</w:t>
      </w:r>
      <w:r>
        <w:rPr>
          <w:rFonts w:hint="eastAsia" w:ascii="仿宋_GB2312" w:hAnsi="仿宋_GB2312" w:eastAsia="仿宋_GB2312" w:cs="仿宋_GB2312"/>
          <w:sz w:val="28"/>
          <w:szCs w:val="28"/>
        </w:rPr>
        <w:t>2020年</w:t>
      </w:r>
      <w:r>
        <w:rPr>
          <w:rFonts w:hint="eastAsia" w:hAnsi="仿宋_GB2312" w:cs="仿宋_GB2312"/>
          <w:sz w:val="28"/>
          <w:szCs w:val="28"/>
          <w:lang w:val="en-US" w:eastAsia="zh-CN"/>
        </w:rPr>
        <w:t>统筹整合财政资金</w:t>
      </w:r>
      <w:r>
        <w:rPr>
          <w:rFonts w:hint="eastAsia" w:ascii="仿宋_GB2312" w:hAnsi="仿宋_GB2312" w:eastAsia="仿宋_GB2312" w:cs="仿宋_GB2312"/>
          <w:sz w:val="28"/>
          <w:szCs w:val="28"/>
        </w:rPr>
        <w:t>项目开展了绩效评价，现将有关情况报告如下。</w:t>
      </w:r>
    </w:p>
    <w:p>
      <w:pPr>
        <w:pStyle w:val="4"/>
        <w:keepNext w:val="0"/>
        <w:keepLines w:val="0"/>
        <w:pageBreakBefore w:val="0"/>
        <w:wordWrap/>
        <w:topLinePunct w:val="0"/>
        <w:autoSpaceDE/>
        <w:autoSpaceDN/>
        <w:bidi w:val="0"/>
        <w:adjustRightInd w:val="0"/>
        <w:snapToGrid w:val="0"/>
        <w:ind w:firstLine="560"/>
        <w:textAlignment w:val="auto"/>
        <w:rPr>
          <w:rFonts w:hint="default" w:eastAsia="黑体"/>
          <w:b w:val="0"/>
          <w:bCs/>
          <w:lang w:val="en-US" w:eastAsia="zh-CN"/>
        </w:rPr>
      </w:pPr>
      <w:bookmarkStart w:id="2" w:name="_Toc5696"/>
      <w:r>
        <w:rPr>
          <w:rFonts w:hint="eastAsia"/>
          <w:b w:val="0"/>
          <w:bCs/>
        </w:rPr>
        <w:t>一、</w:t>
      </w:r>
      <w:bookmarkEnd w:id="1"/>
      <w:r>
        <w:rPr>
          <w:rFonts w:hint="eastAsia"/>
          <w:b w:val="0"/>
          <w:bCs/>
          <w:lang w:val="en-US" w:eastAsia="zh-CN"/>
        </w:rPr>
        <w:t>基本情况</w:t>
      </w:r>
      <w:bookmarkEnd w:id="2"/>
    </w:p>
    <w:p>
      <w:pPr>
        <w:pStyle w:val="5"/>
        <w:keepNext w:val="0"/>
        <w:keepLines w:val="0"/>
        <w:pageBreakBefore w:val="0"/>
        <w:wordWrap/>
        <w:topLinePunct w:val="0"/>
        <w:autoSpaceDE/>
        <w:autoSpaceDN/>
        <w:bidi w:val="0"/>
        <w:adjustRightInd w:val="0"/>
        <w:snapToGrid w:val="0"/>
        <w:ind w:firstLine="560"/>
        <w:textAlignment w:val="auto"/>
        <w:rPr>
          <w:rFonts w:hint="default" w:eastAsia="楷体_GB2312"/>
          <w:lang w:val="en-US" w:eastAsia="zh-CN"/>
        </w:rPr>
      </w:pPr>
      <w:bookmarkStart w:id="3" w:name="_Toc333"/>
      <w:r>
        <w:rPr>
          <w:rFonts w:hint="eastAsia"/>
          <w:lang w:val="en-US" w:eastAsia="zh-CN"/>
        </w:rPr>
        <w:t>（一）项目概况</w:t>
      </w:r>
      <w:bookmarkEnd w:id="3"/>
    </w:p>
    <w:p>
      <w:pPr>
        <w:pStyle w:val="6"/>
        <w:keepNext w:val="0"/>
        <w:keepLines w:val="0"/>
        <w:pageBreakBefore w:val="0"/>
        <w:wordWrap/>
        <w:topLinePunct w:val="0"/>
        <w:autoSpaceDE/>
        <w:autoSpaceDN/>
        <w:bidi w:val="0"/>
        <w:adjustRightInd w:val="0"/>
        <w:snapToGrid w:val="0"/>
        <w:textAlignment w:val="auto"/>
        <w:rPr>
          <w:rFonts w:hint="default"/>
          <w:lang w:val="en-US" w:eastAsia="zh-CN"/>
        </w:rPr>
      </w:pPr>
      <w:r>
        <w:rPr>
          <w:rFonts w:hint="eastAsia"/>
          <w:lang w:val="en-US" w:eastAsia="zh-CN"/>
        </w:rPr>
        <w:t>1.项目背景</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新中国成立后至2015年底，我国农村供水先后历经了自然发展、饮水起步、饮水解困、饮水安全四个阶段，自2016年起进入农村饮水巩固提升的新阶段。</w:t>
      </w:r>
    </w:p>
    <w:p>
      <w:pPr>
        <w:keepNext w:val="0"/>
        <w:keepLines w:val="0"/>
        <w:pageBreakBefore w:val="0"/>
        <w:widowControl w:val="0"/>
        <w:tabs>
          <w:tab w:val="left" w:pos="241"/>
        </w:tabs>
        <w:kinsoku w:val="0"/>
        <w:wordWrap/>
        <w:overflowPunct/>
        <w:topLinePunct w:val="0"/>
        <w:autoSpaceDE/>
        <w:autoSpaceDN/>
        <w:bidi w:val="0"/>
        <w:adjustRightInd w:val="0"/>
        <w:snapToGrid w:val="0"/>
        <w:ind w:left="0" w:leftChars="0" w:firstLine="560" w:firstLineChars="200"/>
        <w:jc w:val="both"/>
        <w:textAlignment w:val="auto"/>
        <w:rPr>
          <w:rFonts w:hint="eastAsia" w:ascii="仿宋_GB2312" w:hAnsi="仿宋_GB2312" w:eastAsia="仿宋_GB2312" w:cs="仿宋_GB2312"/>
          <w:kern w:val="2"/>
          <w:sz w:val="28"/>
          <w:szCs w:val="24"/>
          <w:lang w:val="en-US" w:eastAsia="zh-CN" w:bidi="ar-SA"/>
        </w:rPr>
      </w:pPr>
      <w:bookmarkStart w:id="4" w:name="2_1"/>
      <w:bookmarkEnd w:id="4"/>
      <w:bookmarkStart w:id="5" w:name="自然发展阶段"/>
      <w:bookmarkEnd w:id="5"/>
      <w:bookmarkStart w:id="6" w:name="2-1"/>
      <w:bookmarkEnd w:id="6"/>
      <w:bookmarkStart w:id="7" w:name="sub543578_2_1"/>
      <w:bookmarkEnd w:id="7"/>
      <w:r>
        <w:rPr>
          <w:rFonts w:hint="eastAsia" w:ascii="仿宋_GB2312" w:hAnsi="仿宋_GB2312" w:eastAsia="仿宋_GB2312" w:cs="仿宋_GB2312"/>
          <w:kern w:val="2"/>
          <w:sz w:val="28"/>
          <w:szCs w:val="24"/>
          <w:lang w:val="en-US" w:eastAsia="zh-CN" w:bidi="ar-SA"/>
        </w:rPr>
        <w:t>20世纪50～60年代，国家重视以灌溉排水为重点的农田水利基本建设，结合蓄、引、提等灌溉工程建设，解决了一些地方农民的饮水困难问题。</w:t>
      </w:r>
      <w:bookmarkStart w:id="8" w:name="2-2"/>
      <w:bookmarkEnd w:id="8"/>
      <w:bookmarkStart w:id="9" w:name="sub543578_2_2"/>
      <w:bookmarkEnd w:id="9"/>
      <w:bookmarkStart w:id="10" w:name="饮水起步阶段"/>
      <w:bookmarkEnd w:id="10"/>
      <w:bookmarkStart w:id="11" w:name="2_2"/>
      <w:bookmarkEnd w:id="11"/>
      <w:r>
        <w:rPr>
          <w:rFonts w:hint="eastAsia" w:ascii="仿宋_GB2312" w:hAnsi="仿宋_GB2312" w:eastAsia="仿宋_GB2312" w:cs="仿宋_GB2312"/>
          <w:kern w:val="2"/>
          <w:sz w:val="28"/>
          <w:szCs w:val="24"/>
          <w:lang w:val="en-US" w:eastAsia="zh-CN" w:bidi="ar-SA"/>
        </w:rPr>
        <w:t>1980年春，原水电部在山西阳城县召开第一次农村人畜饮水座谈会，采取以工代赈方式和在小型农田水利补助经费中安排专项资金等措施解决农村饮水困难问题。</w:t>
      </w:r>
      <w:bookmarkStart w:id="12" w:name="2_3"/>
      <w:bookmarkEnd w:id="12"/>
      <w:bookmarkStart w:id="13" w:name="sub543578_2_3"/>
      <w:bookmarkEnd w:id="13"/>
      <w:bookmarkStart w:id="14" w:name="2-3"/>
      <w:bookmarkEnd w:id="14"/>
      <w:bookmarkStart w:id="15" w:name="饮水解困阶段"/>
      <w:bookmarkEnd w:id="15"/>
      <w:r>
        <w:rPr>
          <w:rFonts w:hint="eastAsia" w:ascii="仿宋_GB2312" w:hAnsi="仿宋_GB2312" w:eastAsia="仿宋_GB2312" w:cs="仿宋_GB2312"/>
          <w:kern w:val="2"/>
          <w:sz w:val="28"/>
          <w:szCs w:val="24"/>
          <w:lang w:val="en-US" w:eastAsia="zh-CN" w:bidi="ar-SA"/>
        </w:rPr>
        <w:t>20世纪90年代，解决农村饮水困难正式纳入国家重大规划，农村饮水资金投入力度大幅度增加，基本结束了我国农村长期饮水困难的历史，实现了从喝水难到喝上水的目标。</w:t>
      </w:r>
      <w:bookmarkStart w:id="16" w:name="饮水安全阶段"/>
      <w:bookmarkEnd w:id="16"/>
      <w:bookmarkStart w:id="17" w:name="2-4"/>
      <w:bookmarkEnd w:id="17"/>
      <w:bookmarkStart w:id="18" w:name="sub543578_2_4"/>
      <w:bookmarkEnd w:id="18"/>
      <w:bookmarkStart w:id="19" w:name="2_4"/>
      <w:bookmarkEnd w:id="19"/>
      <w:r>
        <w:rPr>
          <w:rFonts w:hint="eastAsia" w:ascii="仿宋_GB2312" w:hAnsi="仿宋_GB2312" w:eastAsia="仿宋_GB2312" w:cs="仿宋_GB2312"/>
          <w:kern w:val="2"/>
          <w:sz w:val="28"/>
          <w:szCs w:val="24"/>
          <w:lang w:val="en-US" w:eastAsia="zh-CN" w:bidi="ar-SA"/>
        </w:rPr>
        <w:t>2005～2015年，农村饮水安全问题引起党中央国务院的高度重视，国务院先后批准实施《2005-2006年农村饮水安全应急工程规划》、《全国农村饮水安全工程“十一五”规划》和《全国农村饮水安全工程“十二五”规划》，累计解决了5.2</w:t>
      </w:r>
      <w:r>
        <w:rPr>
          <w:rFonts w:hint="eastAsia" w:hAnsi="仿宋_GB2312" w:cs="仿宋_GB2312"/>
          <w:kern w:val="2"/>
          <w:sz w:val="28"/>
          <w:szCs w:val="24"/>
          <w:lang w:val="en-US" w:eastAsia="zh-CN" w:bidi="ar-SA"/>
        </w:rPr>
        <w:t>0</w:t>
      </w:r>
      <w:r>
        <w:rPr>
          <w:rFonts w:hint="eastAsia" w:ascii="仿宋_GB2312" w:hAnsi="仿宋_GB2312" w:eastAsia="仿宋_GB2312" w:cs="仿宋_GB2312"/>
          <w:kern w:val="2"/>
          <w:sz w:val="28"/>
          <w:szCs w:val="24"/>
          <w:lang w:val="en-US" w:eastAsia="zh-CN" w:bidi="ar-SA"/>
        </w:rPr>
        <w:t>亿</w:t>
      </w:r>
      <w:r>
        <w:rPr>
          <w:rFonts w:hint="eastAsia" w:hAnsi="仿宋_GB2312" w:cs="仿宋_GB2312"/>
          <w:kern w:val="2"/>
          <w:sz w:val="28"/>
          <w:szCs w:val="24"/>
          <w:lang w:val="en-US" w:eastAsia="zh-CN" w:bidi="ar-SA"/>
        </w:rPr>
        <w:t>多</w:t>
      </w:r>
      <w:r>
        <w:rPr>
          <w:rFonts w:hint="eastAsia" w:ascii="仿宋_GB2312" w:hAnsi="仿宋_GB2312" w:eastAsia="仿宋_GB2312" w:cs="仿宋_GB2312"/>
          <w:kern w:val="2"/>
          <w:sz w:val="28"/>
          <w:szCs w:val="24"/>
          <w:lang w:val="en-US" w:eastAsia="zh-CN" w:bidi="ar-SA"/>
        </w:rPr>
        <w:t>农村人口的饮水问题，我国农村长期存在的饮水不安全问题基本得到解决，实现了从喝上水到喝好水的目标。</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为进一步提高农村饮水安全保障水平，“十三五”期间，中央决定实施农村饮水安全巩固提升工程。2016年，发展改革委、水利部、财政部、卫计委、环保部、住建部联合印发通知并召开视频会，要求各地围绕全面建成小康社会、打赢脱贫攻坚战的战略部署和目标要求，以健全机制、强化管护为保障，综合采取改造、配套、升级、联网等方式，进一步提升农村集中供水率、自来水普及率、供水保证率和水质达标率。</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eastAsia" w:cstheme="minorBidi"/>
          <w:kern w:val="2"/>
          <w:sz w:val="28"/>
          <w:szCs w:val="24"/>
          <w:lang w:val="en-US" w:eastAsia="zh-CN" w:bidi="ar-SA"/>
        </w:rPr>
      </w:pPr>
      <w:r>
        <w:rPr>
          <w:rFonts w:hint="eastAsia" w:ascii="仿宋_GB2312" w:hAnsi="仿宋_GB2312" w:eastAsia="仿宋_GB2312" w:cs="仿宋_GB2312"/>
          <w:kern w:val="2"/>
          <w:sz w:val="28"/>
          <w:szCs w:val="24"/>
          <w:lang w:val="en-US" w:eastAsia="zh-CN" w:bidi="ar-SA"/>
        </w:rPr>
        <w:t>宁武县共有贫困村251村，涉及农村饮用水建设工程共计284处，根据脱贫攻坚工作要求，宁武县</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对照农村饮水安全四项指标，对全县脱贫攻坚农村饮水安全指标达标情况进行了自查，农村饮水安全工程是一项艰巨的工程建设项目，涉及千家万户，点多面广、变化性大、不确定因素居多。宁武县</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聚焦饮水安全、心系百姓福祉，严格按照农村饮水安全工程建设四项标准，</w:t>
      </w:r>
      <w:r>
        <w:rPr>
          <w:rFonts w:hint="eastAsia" w:ascii="仿宋_GB2312" w:hAnsi="仿宋_GB2312" w:cs="仿宋_GB2312"/>
          <w:kern w:val="2"/>
          <w:sz w:val="28"/>
          <w:szCs w:val="24"/>
          <w:lang w:val="en-US" w:eastAsia="zh-CN" w:bidi="ar-SA"/>
        </w:rPr>
        <w:t>按照</w:t>
      </w:r>
      <w:r>
        <w:rPr>
          <w:rFonts w:hint="eastAsia" w:ascii="仿宋_GB2312" w:hAnsi="仿宋_GB2312" w:eastAsia="仿宋_GB2312" w:cs="仿宋_GB2312"/>
          <w:kern w:val="2"/>
          <w:sz w:val="28"/>
          <w:szCs w:val="24"/>
          <w:lang w:val="en-US" w:eastAsia="zh-CN" w:bidi="ar-SA"/>
        </w:rPr>
        <w:t>《宁武县农村饮水安全工程运行管理办法》执行，以建成“安全、稳定、长效运行”的工程为目标。</w:t>
      </w:r>
    </w:p>
    <w:p>
      <w:pPr>
        <w:pStyle w:val="5"/>
        <w:keepNext w:val="0"/>
        <w:keepLines w:val="0"/>
        <w:pageBreakBefore w:val="0"/>
        <w:wordWrap/>
        <w:topLinePunct w:val="0"/>
        <w:autoSpaceDE/>
        <w:autoSpaceDN/>
        <w:bidi w:val="0"/>
        <w:adjustRightInd w:val="0"/>
        <w:snapToGrid w:val="0"/>
        <w:ind w:firstLine="560"/>
        <w:textAlignment w:val="auto"/>
        <w:rPr>
          <w:rFonts w:hint="eastAsia"/>
          <w:lang w:val="en-US" w:eastAsia="zh-CN"/>
        </w:rPr>
      </w:pPr>
      <w:bookmarkStart w:id="20" w:name="_Toc8887"/>
      <w:bookmarkStart w:id="21" w:name="_Toc155"/>
      <w:r>
        <w:rPr>
          <w:rFonts w:hint="eastAsia"/>
          <w:lang w:val="en-US" w:eastAsia="zh-CN"/>
        </w:rPr>
        <w:t>（二）主要内容及实施情况</w:t>
      </w:r>
      <w:bookmarkEnd w:id="20"/>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left"/>
        <w:textAlignment w:val="auto"/>
        <w:outlineLvl w:val="2"/>
        <w:rPr>
          <w:rFonts w:hint="eastAsia" w:ascii="仿宋_GB2312" w:hAnsi="仿宋_GB2312" w:eastAsia="仿宋_GB2312" w:cs="仿宋_GB2312"/>
          <w:b w:val="0"/>
          <w:bCs w:val="0"/>
          <w:kern w:val="2"/>
          <w:sz w:val="28"/>
          <w:szCs w:val="24"/>
          <w:lang w:val="en-US" w:eastAsia="zh-CN" w:bidi="ar-SA"/>
        </w:rPr>
      </w:pPr>
      <w:bookmarkStart w:id="22" w:name="_Toc9119_WPSOffice_Level3"/>
      <w:bookmarkStart w:id="23" w:name="_Toc31448_WPSOffice_Level3"/>
      <w:bookmarkStart w:id="24" w:name="_Toc2823_WPSOffice_Level3"/>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1</w:t>
      </w: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2020年度农村饮水安全巩固提升及维修养护工程</w:t>
      </w:r>
      <w:bookmarkEnd w:id="22"/>
      <w:bookmarkEnd w:id="23"/>
      <w:bookmarkEnd w:id="24"/>
    </w:p>
    <w:p>
      <w:pPr>
        <w:pStyle w:val="14"/>
        <w:keepNext w:val="0"/>
        <w:keepLines w:val="0"/>
        <w:pageBreakBefore w:val="0"/>
        <w:widowControl/>
        <w:suppressLineNumbers w:val="0"/>
        <w:kinsoku/>
        <w:wordWrap/>
        <w:overflowPunct w:val="0"/>
        <w:topLinePunct w:val="0"/>
        <w:autoSpaceDE/>
        <w:autoSpaceDN/>
        <w:bidi w:val="0"/>
        <w:adjustRightInd w:val="0"/>
        <w:snapToGrid w:val="0"/>
        <w:spacing w:beforeAutospacing="0" w:afterAutospacing="0"/>
        <w:ind w:leftChars="0"/>
        <w:jc w:val="both"/>
        <w:textAlignment w:val="auto"/>
        <w:rPr>
          <w:rFonts w:hint="default" w:ascii="仿宋_GB2312" w:hAnsi="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根据忻州市发展和改革局，忻州市水利局“关于分解下达农村饮水安全巩固提升工程专项2020年中央预算内投资计划的通知”（忻发改发〔2020〕39号）文件，安排</w:t>
      </w:r>
      <w:r>
        <w:rPr>
          <w:rFonts w:hint="eastAsia" w:ascii="仿宋_GB2312" w:hAnsi="仿宋_GB2312" w:cs="仿宋_GB2312"/>
          <w:kern w:val="2"/>
          <w:sz w:val="28"/>
          <w:szCs w:val="24"/>
          <w:lang w:val="en-US" w:eastAsia="zh-CN" w:bidi="ar-SA"/>
        </w:rPr>
        <w:t>宁武</w:t>
      </w:r>
      <w:r>
        <w:rPr>
          <w:rFonts w:hint="eastAsia" w:ascii="仿宋_GB2312" w:hAnsi="仿宋_GB2312" w:eastAsia="仿宋_GB2312" w:cs="仿宋_GB2312"/>
          <w:kern w:val="2"/>
          <w:sz w:val="28"/>
          <w:szCs w:val="24"/>
          <w:lang w:val="en-US" w:eastAsia="zh-CN" w:bidi="ar-SA"/>
        </w:rPr>
        <w:t>县的农村饮水安全巩固提升资金200万元分配4个村庄；根据忻州市水利局“关于下达2020年市级农村饮水安全资金计划的通知”（忻水发〔2020〕35号）文件，安排</w:t>
      </w:r>
      <w:r>
        <w:rPr>
          <w:rFonts w:hint="eastAsia" w:ascii="仿宋_GB2312" w:hAnsi="仿宋_GB2312" w:cs="仿宋_GB2312"/>
          <w:kern w:val="2"/>
          <w:sz w:val="28"/>
          <w:szCs w:val="24"/>
          <w:lang w:val="en-US" w:eastAsia="zh-CN" w:bidi="ar-SA"/>
        </w:rPr>
        <w:t>宁武</w:t>
      </w:r>
      <w:r>
        <w:rPr>
          <w:rFonts w:hint="eastAsia" w:ascii="仿宋_GB2312" w:hAnsi="仿宋_GB2312" w:eastAsia="仿宋_GB2312" w:cs="仿宋_GB2312"/>
          <w:kern w:val="2"/>
          <w:sz w:val="28"/>
          <w:szCs w:val="24"/>
          <w:lang w:val="en-US" w:eastAsia="zh-CN" w:bidi="ar-SA"/>
        </w:rPr>
        <w:t>县的农村饮水安全资金120万元分配1个村庄；根据忻州市水利局“关于下达2020年市级农村饮水安全维修养护资金计划的通知”（忻水发〔2020〕36号）文件，安排</w:t>
      </w:r>
      <w:r>
        <w:rPr>
          <w:rFonts w:hint="eastAsia" w:ascii="仿宋_GB2312" w:hAnsi="仿宋_GB2312" w:cs="仿宋_GB2312"/>
          <w:kern w:val="2"/>
          <w:sz w:val="28"/>
          <w:szCs w:val="24"/>
          <w:lang w:val="en-US" w:eastAsia="zh-CN" w:bidi="ar-SA"/>
        </w:rPr>
        <w:t>宁武</w:t>
      </w:r>
      <w:r>
        <w:rPr>
          <w:rFonts w:hint="eastAsia" w:ascii="仿宋_GB2312" w:hAnsi="仿宋_GB2312" w:eastAsia="仿宋_GB2312" w:cs="仿宋_GB2312"/>
          <w:kern w:val="2"/>
          <w:sz w:val="28"/>
          <w:szCs w:val="24"/>
          <w:lang w:val="en-US" w:eastAsia="zh-CN" w:bidi="ar-SA"/>
        </w:rPr>
        <w:t>县的农村饮水安全维修养护资金18万元分配2个村庄；根据</w:t>
      </w:r>
      <w:r>
        <w:rPr>
          <w:rFonts w:hint="eastAsia" w:ascii="仿宋_GB2312" w:hAnsi="仿宋_GB2312" w:cs="仿宋_GB2312"/>
          <w:kern w:val="2"/>
          <w:sz w:val="28"/>
          <w:szCs w:val="24"/>
          <w:lang w:val="en-US" w:eastAsia="zh-CN" w:bidi="ar-SA"/>
        </w:rPr>
        <w:t>忻州市水利局</w:t>
      </w:r>
      <w:r>
        <w:rPr>
          <w:rFonts w:hint="eastAsia" w:ascii="仿宋_GB2312" w:hAnsi="仿宋_GB2312" w:eastAsia="仿宋_GB2312" w:cs="仿宋_GB2312"/>
          <w:kern w:val="2"/>
          <w:sz w:val="28"/>
          <w:szCs w:val="24"/>
          <w:lang w:val="en-US" w:eastAsia="zh-CN" w:bidi="ar-SA"/>
        </w:rPr>
        <w:t>“关于提前下达2020年中央水利发展资金计划的通知”（忻水发〔2019〕280号）文件，安排</w:t>
      </w:r>
      <w:r>
        <w:rPr>
          <w:rFonts w:hint="eastAsia" w:ascii="仿宋_GB2312" w:hAnsi="仿宋_GB2312" w:cs="仿宋_GB2312"/>
          <w:kern w:val="2"/>
          <w:sz w:val="28"/>
          <w:szCs w:val="24"/>
          <w:lang w:val="en-US" w:eastAsia="zh-CN" w:bidi="ar-SA"/>
        </w:rPr>
        <w:t>宁武</w:t>
      </w:r>
      <w:r>
        <w:rPr>
          <w:rFonts w:hint="eastAsia" w:ascii="仿宋_GB2312" w:hAnsi="仿宋_GB2312" w:eastAsia="仿宋_GB2312" w:cs="仿宋_GB2312"/>
          <w:kern w:val="2"/>
          <w:sz w:val="28"/>
          <w:szCs w:val="24"/>
          <w:lang w:val="en-US" w:eastAsia="zh-CN" w:bidi="ar-SA"/>
        </w:rPr>
        <w:t>县的农村饮水安全维修养护资金110万元分配28个村庄；根据</w:t>
      </w:r>
      <w:r>
        <w:rPr>
          <w:rFonts w:hint="eastAsia" w:ascii="仿宋_GB2312" w:hAnsi="仿宋_GB2312" w:cs="仿宋_GB2312"/>
          <w:kern w:val="2"/>
          <w:sz w:val="28"/>
          <w:szCs w:val="24"/>
          <w:lang w:val="en-US" w:eastAsia="zh-CN" w:bidi="ar-SA"/>
        </w:rPr>
        <w:t>忻州市水利局</w:t>
      </w:r>
      <w:r>
        <w:rPr>
          <w:rFonts w:hint="eastAsia" w:ascii="仿宋_GB2312" w:hAnsi="仿宋_GB2312" w:eastAsia="仿宋_GB2312" w:cs="仿宋_GB2312"/>
          <w:kern w:val="2"/>
          <w:sz w:val="28"/>
          <w:szCs w:val="24"/>
          <w:lang w:val="en-US" w:eastAsia="zh-CN" w:bidi="ar-SA"/>
        </w:rPr>
        <w:t>“关于提前下达2020年省级水利转移支付资金计划的通知”（忻水发〔2020〕4号）文件，安排</w:t>
      </w:r>
      <w:r>
        <w:rPr>
          <w:rFonts w:hint="eastAsia" w:ascii="仿宋_GB2312" w:hAnsi="仿宋_GB2312" w:cs="仿宋_GB2312"/>
          <w:kern w:val="2"/>
          <w:sz w:val="28"/>
          <w:szCs w:val="24"/>
          <w:lang w:val="en-US" w:eastAsia="zh-CN" w:bidi="ar-SA"/>
        </w:rPr>
        <w:t>宁武</w:t>
      </w:r>
      <w:r>
        <w:rPr>
          <w:rFonts w:hint="eastAsia" w:ascii="仿宋_GB2312" w:hAnsi="仿宋_GB2312" w:eastAsia="仿宋_GB2312" w:cs="仿宋_GB2312"/>
          <w:kern w:val="2"/>
          <w:sz w:val="28"/>
          <w:szCs w:val="24"/>
          <w:lang w:val="en-US" w:eastAsia="zh-CN" w:bidi="ar-SA"/>
        </w:rPr>
        <w:t>县的农村饮水安全巩固提升项目计划100万元，用于全县老化管网改造，计量设施安装等巩固提升工程。以上资金</w:t>
      </w:r>
      <w:r>
        <w:rPr>
          <w:rFonts w:hint="eastAsia" w:ascii="仿宋_GB2312" w:hAnsi="仿宋_GB2312" w:cs="仿宋_GB2312"/>
          <w:kern w:val="2"/>
          <w:sz w:val="28"/>
          <w:szCs w:val="24"/>
          <w:lang w:val="en-US" w:eastAsia="zh-CN" w:bidi="ar-SA"/>
        </w:rPr>
        <w:t>及其他资金</w:t>
      </w:r>
      <w:r>
        <w:rPr>
          <w:rFonts w:hint="eastAsia" w:ascii="仿宋_GB2312" w:hAnsi="仿宋_GB2312" w:eastAsia="仿宋_GB2312" w:cs="仿宋_GB2312"/>
          <w:kern w:val="2"/>
          <w:sz w:val="28"/>
          <w:szCs w:val="24"/>
          <w:lang w:val="en-US" w:eastAsia="zh-CN" w:bidi="ar-SA"/>
        </w:rPr>
        <w:t>由县财政统筹整合使用，全部用于农村饮水安全</w:t>
      </w:r>
      <w:r>
        <w:rPr>
          <w:rFonts w:hint="eastAsia" w:ascii="仿宋_GB2312" w:hAnsi="仿宋_GB2312" w:cs="仿宋_GB2312"/>
          <w:kern w:val="2"/>
          <w:sz w:val="28"/>
          <w:szCs w:val="24"/>
          <w:lang w:val="en-US" w:eastAsia="zh-CN" w:bidi="ar-SA"/>
        </w:rPr>
        <w:t>。截至2020年12月31日，</w:t>
      </w:r>
      <w:r>
        <w:rPr>
          <w:rFonts w:hint="eastAsia" w:ascii="仿宋_GB2312" w:hAnsi="仿宋_GB2312" w:eastAsia="仿宋_GB2312" w:cs="仿宋_GB2312"/>
          <w:kern w:val="2"/>
          <w:sz w:val="28"/>
          <w:szCs w:val="24"/>
          <w:lang w:val="en-US" w:eastAsia="zh-CN" w:bidi="ar-SA"/>
        </w:rPr>
        <w:t>实施了</w:t>
      </w:r>
      <w:r>
        <w:rPr>
          <w:rFonts w:hint="eastAsia" w:ascii="仿宋_GB2312" w:hAnsi="仿宋_GB2312" w:cs="仿宋_GB2312"/>
          <w:kern w:val="2"/>
          <w:sz w:val="28"/>
          <w:szCs w:val="24"/>
          <w:lang w:val="en-US" w:eastAsia="zh-CN" w:bidi="ar-SA"/>
        </w:rPr>
        <w:t>88</w:t>
      </w:r>
      <w:r>
        <w:rPr>
          <w:rFonts w:hint="eastAsia" w:hAnsi="仿宋_GB2312" w:cs="仿宋_GB2312"/>
          <w:kern w:val="2"/>
          <w:sz w:val="28"/>
          <w:szCs w:val="24"/>
          <w:lang w:val="en-US" w:eastAsia="zh-CN" w:bidi="ar-SA"/>
        </w:rPr>
        <w:t>个</w:t>
      </w:r>
      <w:r>
        <w:rPr>
          <w:rFonts w:hint="eastAsia" w:ascii="仿宋_GB2312" w:hAnsi="仿宋_GB2312" w:eastAsia="仿宋_GB2312" w:cs="仿宋_GB2312"/>
          <w:kern w:val="2"/>
          <w:sz w:val="28"/>
          <w:szCs w:val="24"/>
          <w:lang w:val="en-US" w:eastAsia="zh-CN" w:bidi="ar-SA"/>
        </w:rPr>
        <w:t>村的饮水安全巩固提升及维修养护工程，2</w:t>
      </w:r>
      <w:r>
        <w:rPr>
          <w:rFonts w:hint="eastAsia" w:ascii="仿宋_GB2312" w:hAnsi="仿宋_GB2312" w:cs="仿宋_GB2312"/>
          <w:kern w:val="2"/>
          <w:sz w:val="28"/>
          <w:szCs w:val="24"/>
          <w:lang w:val="en-US" w:eastAsia="zh-CN" w:bidi="ar-SA"/>
        </w:rPr>
        <w:t>020年度农村饮水安全主要建设工程量见附件3。</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left"/>
        <w:textAlignment w:val="auto"/>
        <w:outlineLvl w:val="2"/>
        <w:rPr>
          <w:rFonts w:hint="eastAsia" w:ascii="仿宋_GB2312" w:hAnsi="仿宋_GB2312" w:eastAsia="仿宋_GB2312" w:cs="仿宋_GB2312"/>
          <w:b w:val="0"/>
          <w:bCs w:val="0"/>
          <w:kern w:val="2"/>
          <w:sz w:val="28"/>
          <w:szCs w:val="24"/>
          <w:lang w:val="en-US" w:eastAsia="zh-CN" w:bidi="ar-SA"/>
        </w:rPr>
      </w:pPr>
      <w:bookmarkStart w:id="25" w:name="_Toc6708_WPSOffice_Level3"/>
      <w:bookmarkStart w:id="26" w:name="_Toc1353_WPSOffice_Level3"/>
      <w:bookmarkStart w:id="27" w:name="_Toc23838_WPSOffice_Level3"/>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2</w:t>
      </w: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2020年以工代赈灾毁水毁护村护地坝</w:t>
      </w:r>
      <w:bookmarkEnd w:id="25"/>
      <w:bookmarkEnd w:id="26"/>
      <w:bookmarkEnd w:id="27"/>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eastAsia" w:ascii="仿宋_GB2312" w:hAnsi="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2020年以工代赈灾毁水毁护村护地坝（一期）在宁武县阳方口镇东麻峪村、冯家山村</w:t>
      </w:r>
      <w:r>
        <w:rPr>
          <w:rFonts w:hint="eastAsia"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凤凰镇周家堡村</w:t>
      </w:r>
      <w:r>
        <w:rPr>
          <w:rFonts w:hint="eastAsia"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余庄乡寺沟村</w:t>
      </w:r>
      <w:r>
        <w:rPr>
          <w:rFonts w:hint="eastAsia"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东寨镇东寺村、石辉沟村、南岔村</w:t>
      </w:r>
      <w:r>
        <w:rPr>
          <w:rFonts w:hint="eastAsia"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怀道乡白马崖村</w:t>
      </w:r>
      <w:r>
        <w:rPr>
          <w:rFonts w:hint="eastAsia" w:ascii="仿宋_GB2312" w:hAnsi="仿宋_GB2312" w:cs="仿宋_GB2312"/>
          <w:kern w:val="2"/>
          <w:sz w:val="28"/>
          <w:szCs w:val="24"/>
          <w:lang w:val="en-US" w:eastAsia="zh-CN" w:bidi="ar-SA"/>
        </w:rPr>
        <w:t>8个村新建或修复护村护地坝，具体建设内容为：新建浆砌石护坝1723m、铅丝笼护坝、丁坝180m、河道清淤平整3165m³、铅丝笼护底44m³、旧坝加固165m。</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default"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截至2020年12月31日，8个村护村护地坝全部建设完成，按照计划工程量及投资额完成建设任务。</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left"/>
        <w:textAlignment w:val="auto"/>
        <w:outlineLvl w:val="2"/>
        <w:rPr>
          <w:rFonts w:hint="eastAsia" w:ascii="仿宋_GB2312" w:hAnsi="仿宋_GB2312" w:eastAsia="仿宋_GB2312" w:cs="仿宋_GB2312"/>
          <w:b w:val="0"/>
          <w:bCs w:val="0"/>
          <w:kern w:val="2"/>
          <w:sz w:val="28"/>
          <w:szCs w:val="24"/>
          <w:lang w:val="en-US" w:eastAsia="zh-CN" w:bidi="ar-SA"/>
        </w:rPr>
      </w:pP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3</w:t>
      </w: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恢河流域综合治理与生态修复工程</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eastAsia"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本工程主要内容为：新建生态堤防2.65㎞、新建浆砌石堤防0.41㎞、浆砌石旧堤加固4.16㎞、5条支沟入河段防护共计3.30㎞、河道整治疏浚8.51㎞、窑沟片300亩经济林园区、防冲坎5道、源头生态绿化1处。</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default"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项目为以前年度建设项目，截至2020年12月31日，按照计划工程量及投资额完成建设任务。</w:t>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left"/>
        <w:textAlignment w:val="auto"/>
        <w:outlineLvl w:val="2"/>
        <w:rPr>
          <w:rFonts w:hint="default" w:ascii="仿宋_GB2312" w:hAnsi="仿宋_GB2312" w:eastAsia="仿宋_GB2312" w:cs="仿宋_GB2312"/>
          <w:b w:val="0"/>
          <w:bCs w:val="0"/>
          <w:kern w:val="2"/>
          <w:sz w:val="28"/>
          <w:szCs w:val="24"/>
          <w:lang w:val="en-US" w:eastAsia="zh-CN" w:bidi="ar-SA"/>
        </w:rPr>
      </w:pP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4</w:t>
      </w:r>
      <w:r>
        <w:rPr>
          <w:rFonts w:hint="eastAsia" w:hAnsi="仿宋_GB2312" w:cs="仿宋_GB2312"/>
          <w:b w:val="0"/>
          <w:bCs w:val="0"/>
          <w:kern w:val="2"/>
          <w:sz w:val="28"/>
          <w:szCs w:val="24"/>
          <w:lang w:val="en-US" w:eastAsia="zh-CN" w:bidi="ar-SA"/>
        </w:rPr>
        <w:t>）</w:t>
      </w:r>
      <w:r>
        <w:rPr>
          <w:rFonts w:hint="eastAsia" w:ascii="仿宋_GB2312" w:hAnsi="仿宋_GB2312" w:eastAsia="仿宋_GB2312" w:cs="仿宋_GB2312"/>
          <w:b w:val="0"/>
          <w:bCs w:val="0"/>
          <w:kern w:val="2"/>
          <w:sz w:val="28"/>
          <w:szCs w:val="24"/>
          <w:lang w:val="en-US" w:eastAsia="zh-CN" w:bidi="ar-SA"/>
        </w:rPr>
        <w:t>其他项目</w:t>
      </w:r>
      <w:r>
        <w:rPr>
          <w:rFonts w:hint="eastAsia" w:hAnsi="仿宋_GB2312" w:cs="仿宋_GB2312"/>
          <w:b w:val="0"/>
          <w:bCs w:val="0"/>
          <w:kern w:val="2"/>
          <w:sz w:val="28"/>
          <w:szCs w:val="24"/>
          <w:lang w:val="en-US" w:eastAsia="zh-CN" w:bidi="ar-SA"/>
        </w:rPr>
        <w:tab/>
      </w:r>
    </w:p>
    <w:p>
      <w:pPr>
        <w:keepNext w:val="0"/>
        <w:keepLines w:val="0"/>
        <w:pageBreakBefore w:val="0"/>
        <w:widowControl/>
        <w:tabs>
          <w:tab w:val="left" w:pos="241"/>
        </w:tabs>
        <w:kinsoku/>
        <w:wordWrap/>
        <w:overflowPunct w:val="0"/>
        <w:topLinePunct w:val="0"/>
        <w:autoSpaceDE/>
        <w:autoSpaceDN/>
        <w:bidi w:val="0"/>
        <w:adjustRightInd w:val="0"/>
        <w:snapToGrid w:val="0"/>
        <w:ind w:left="0" w:leftChars="0" w:firstLine="560" w:firstLineChars="200"/>
        <w:jc w:val="both"/>
        <w:textAlignment w:val="auto"/>
        <w:rPr>
          <w:rFonts w:hint="default"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2017年，全县脱贫攻坚农村饮水安全提升及维修工程建设118村，解决15362户39300人的饮水安全；2018年，全县脱贫攻坚农村饮水安全提升及维修工程建设96村，解决12087户30266人的饮水安全；2019年，全县脱贫攻坚农村饮水安全提升及维修工程建设105村，解决37081人15145户以及4750头大畜的饮水安全；完成19处2017年以前年度农村饮水安全工程硬化路面工程。</w:t>
      </w:r>
    </w:p>
    <w:p>
      <w:pPr>
        <w:pStyle w:val="5"/>
        <w:keepNext w:val="0"/>
        <w:keepLines w:val="0"/>
        <w:pageBreakBefore w:val="0"/>
        <w:wordWrap/>
        <w:topLinePunct w:val="0"/>
        <w:autoSpaceDE/>
        <w:autoSpaceDN/>
        <w:bidi w:val="0"/>
        <w:adjustRightInd w:val="0"/>
        <w:snapToGrid w:val="0"/>
        <w:textAlignment w:val="auto"/>
        <w:rPr>
          <w:rFonts w:hint="eastAsia"/>
        </w:rPr>
      </w:pPr>
      <w:bookmarkStart w:id="28" w:name="_Toc356"/>
      <w:bookmarkStart w:id="29" w:name="_Toc31281"/>
      <w:bookmarkStart w:id="30" w:name="_Toc513731590"/>
      <w:bookmarkStart w:id="31" w:name="_Toc9124"/>
      <w:bookmarkStart w:id="32" w:name="_Toc513218635"/>
      <w:r>
        <w:rPr>
          <w:rFonts w:hint="eastAsia"/>
          <w:lang w:val="en-US" w:eastAsia="zh-CN"/>
        </w:rPr>
        <w:t>（三）项目</w:t>
      </w:r>
      <w:r>
        <w:rPr>
          <w:rFonts w:hint="eastAsia"/>
        </w:rPr>
        <w:t>资金投入和使用情况</w:t>
      </w:r>
      <w:bookmarkEnd w:id="28"/>
      <w:bookmarkEnd w:id="29"/>
    </w:p>
    <w:p>
      <w:pPr>
        <w:pStyle w:val="6"/>
        <w:keepNext w:val="0"/>
        <w:keepLines w:val="0"/>
        <w:pageBreakBefore w:val="0"/>
        <w:wordWrap/>
        <w:topLinePunct w:val="0"/>
        <w:autoSpaceDE/>
        <w:autoSpaceDN/>
        <w:bidi w:val="0"/>
        <w:adjustRightInd w:val="0"/>
        <w:snapToGrid w:val="0"/>
        <w:textAlignment w:val="auto"/>
        <w:rPr>
          <w:rFonts w:hint="eastAsia"/>
          <w:lang w:val="en-US" w:eastAsia="zh-CN"/>
        </w:rPr>
      </w:pPr>
      <w:r>
        <w:rPr>
          <w:rFonts w:hint="eastAsia"/>
          <w:lang w:val="en-US" w:eastAsia="zh-CN"/>
        </w:rPr>
        <w:t>1.资金投入情况</w:t>
      </w:r>
    </w:p>
    <w:bookmarkEnd w:id="21"/>
    <w:bookmarkEnd w:id="30"/>
    <w:bookmarkEnd w:id="31"/>
    <w:bookmarkEnd w:id="32"/>
    <w:p>
      <w:pPr>
        <w:keepNext w:val="0"/>
        <w:keepLines w:val="0"/>
        <w:pageBreakBefore w:val="0"/>
        <w:widowControl/>
        <w:numPr>
          <w:ilvl w:val="0"/>
          <w:numId w:val="0"/>
        </w:numPr>
        <w:tabs>
          <w:tab w:val="left" w:pos="241"/>
        </w:tabs>
        <w:kinsoku/>
        <w:wordWrap/>
        <w:overflowPunct w:val="0"/>
        <w:topLinePunct w:val="0"/>
        <w:autoSpaceDE/>
        <w:autoSpaceDN/>
        <w:bidi w:val="0"/>
        <w:adjustRightInd w:val="0"/>
        <w:snapToGrid w:val="0"/>
        <w:ind w:leftChars="0" w:firstLine="560" w:firstLineChars="200"/>
        <w:jc w:val="both"/>
        <w:textAlignment w:val="auto"/>
        <w:rPr>
          <w:rFonts w:hint="eastAsia" w:ascii="仿宋_GB2312" w:hAnsi="仿宋_GB2312" w:eastAsia="仿宋_GB2312" w:cs="仿宋_GB2312"/>
          <w:kern w:val="2"/>
          <w:sz w:val="28"/>
          <w:szCs w:val="24"/>
          <w:lang w:val="en-US" w:eastAsia="zh-CN" w:bidi="ar-SA"/>
        </w:rPr>
      </w:pPr>
      <w:r>
        <w:rPr>
          <w:rFonts w:hint="eastAsia" w:ascii="仿宋_GB2312" w:hAnsi="仿宋_GB2312" w:eastAsia="仿宋_GB2312" w:cs="仿宋_GB2312"/>
          <w:kern w:val="2"/>
          <w:sz w:val="28"/>
          <w:szCs w:val="24"/>
          <w:lang w:val="en-US" w:eastAsia="zh-CN" w:bidi="ar-SA"/>
        </w:rPr>
        <w:t>根据对</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相关财务资料核查，2020年度下达</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统筹整合资金共计2</w:t>
      </w:r>
      <w:r>
        <w:rPr>
          <w:rFonts w:hint="eastAsia" w:ascii="仿宋_GB2312"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951.86万元，用于7个项目，</w:t>
      </w:r>
      <w:r>
        <w:rPr>
          <w:rFonts w:hint="eastAsia" w:ascii="仿宋_GB2312" w:hAnsi="仿宋_GB2312" w:cs="仿宋_GB2312"/>
          <w:kern w:val="2"/>
          <w:sz w:val="28"/>
          <w:szCs w:val="24"/>
          <w:lang w:val="en-US" w:eastAsia="zh-CN" w:bidi="ar-SA"/>
        </w:rPr>
        <w:t>截至</w:t>
      </w:r>
      <w:r>
        <w:rPr>
          <w:rFonts w:hint="eastAsia" w:ascii="仿宋_GB2312" w:hAnsi="仿宋_GB2312" w:eastAsia="仿宋_GB2312" w:cs="仿宋_GB2312"/>
          <w:kern w:val="2"/>
          <w:sz w:val="28"/>
          <w:szCs w:val="24"/>
          <w:lang w:val="en-US" w:eastAsia="zh-CN" w:bidi="ar-SA"/>
        </w:rPr>
        <w:t>2020年12月31日，2</w:t>
      </w:r>
      <w:r>
        <w:rPr>
          <w:rFonts w:hint="eastAsia" w:ascii="仿宋_GB2312"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951.86万元全部到位，具体资金下达明细如下</w:t>
      </w:r>
      <w:r>
        <w:rPr>
          <w:rFonts w:hint="eastAsia" w:ascii="仿宋_GB2312" w:hAnsi="仿宋_GB2312" w:cs="仿宋_GB2312"/>
          <w:kern w:val="2"/>
          <w:sz w:val="28"/>
          <w:szCs w:val="24"/>
          <w:lang w:val="en-US" w:eastAsia="zh-CN" w:bidi="ar-SA"/>
        </w:rPr>
        <w:t>表1-1</w:t>
      </w:r>
      <w:r>
        <w:rPr>
          <w:rFonts w:hint="eastAsia" w:ascii="仿宋_GB2312" w:hAnsi="仿宋_GB2312" w:eastAsia="仿宋_GB2312" w:cs="仿宋_GB2312"/>
          <w:kern w:val="2"/>
          <w:sz w:val="28"/>
          <w:szCs w:val="24"/>
          <w:lang w:val="en-US" w:eastAsia="zh-CN" w:bidi="ar-SA"/>
        </w:rPr>
        <w:t>：</w:t>
      </w:r>
    </w:p>
    <w:p>
      <w:pPr>
        <w:pStyle w:val="2"/>
        <w:keepNext w:val="0"/>
        <w:keepLines w:val="0"/>
        <w:pageBreakBefore w:val="0"/>
        <w:widowControl/>
        <w:kinsoku/>
        <w:wordWrap/>
        <w:overflowPunct w:val="0"/>
        <w:topLinePunct w:val="0"/>
        <w:autoSpaceDE/>
        <w:autoSpaceDN/>
        <w:bidi w:val="0"/>
        <w:adjustRightInd/>
        <w:snapToGrid/>
        <w:spacing w:before="0" w:after="199" w:afterLines="50"/>
        <w:ind w:left="0" w:leftChars="0" w:firstLine="0" w:firstLineChars="0"/>
        <w:jc w:val="center"/>
        <w:textAlignment w:val="auto"/>
        <w:rPr>
          <w:rFonts w:hint="eastAsia" w:ascii="宋体" w:hAnsi="宋体" w:eastAsia="宋体" w:cs="宋体"/>
          <w:lang w:val="en-US" w:eastAsia="zh-CN"/>
        </w:rPr>
      </w:pPr>
      <w:bookmarkStart w:id="33" w:name="_Toc979_WPSOffice_Level3"/>
      <w:bookmarkStart w:id="34" w:name="_Toc16202_WPSOffice_Level3"/>
      <w:bookmarkStart w:id="35" w:name="_Toc16170_WPSOffice_Level3"/>
      <w:r>
        <w:rPr>
          <w:rFonts w:hint="eastAsia" w:ascii="宋体" w:hAnsi="宋体" w:eastAsia="宋体" w:cs="宋体"/>
          <w:kern w:val="2"/>
          <w:sz w:val="28"/>
          <w:szCs w:val="24"/>
          <w:lang w:val="en-US" w:eastAsia="zh-CN" w:bidi="ar-SA"/>
        </w:rPr>
        <w:t>表1-1 2020年度水利水保局资金下达明细</w:t>
      </w:r>
      <w:bookmarkEnd w:id="33"/>
      <w:bookmarkEnd w:id="34"/>
      <w:bookmarkEnd w:id="35"/>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7"/>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637" w:type="dxa"/>
            <w:tcBorders>
              <w:top w:val="double" w:color="auto" w:sz="4" w:space="0"/>
              <w:left w:val="nil"/>
              <w:bottom w:val="dotted" w:color="auto" w:sz="4" w:space="0"/>
              <w:right w:val="dotted" w:color="auto" w:sz="4" w:space="0"/>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项目</w:t>
            </w:r>
          </w:p>
        </w:tc>
        <w:tc>
          <w:tcPr>
            <w:tcW w:w="1885" w:type="dxa"/>
            <w:tcBorders>
              <w:top w:val="double" w:color="auto" w:sz="4" w:space="0"/>
              <w:left w:val="dotted" w:color="auto" w:sz="4" w:space="0"/>
              <w:bottom w:val="dotted" w:color="auto" w:sz="4" w:space="0"/>
              <w:right w:val="nil"/>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下达资金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恢河流域综合治理与生态修复工程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lang w:val="en-US" w:eastAsia="zh-CN" w:bidi="ar-SA"/>
              </w:rPr>
              <w:t>2020年以工代赈灾毁水毁护村护地坝工程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2020农村饮水安全巩固提升及维修养护工程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882.10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2019年农村饮水安全巩固提升及维修养护工程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641.99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2018年农村饮水安全巩固提升及维修养护工程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221.64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2017年农村饮水安全巩固提升及维修养护工程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394.62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2017年以前年度农村饮水安全工程硬化路面恢复工程</w:t>
            </w:r>
          </w:p>
        </w:tc>
        <w:tc>
          <w:tcPr>
            <w:tcW w:w="1885"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117.51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37" w:type="dxa"/>
            <w:tcBorders>
              <w:top w:val="dotted" w:color="auto" w:sz="4" w:space="0"/>
              <w:left w:val="nil"/>
              <w:bottom w:val="double"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合计</w:t>
            </w:r>
          </w:p>
        </w:tc>
        <w:tc>
          <w:tcPr>
            <w:tcW w:w="1885" w:type="dxa"/>
            <w:tcBorders>
              <w:top w:val="dotted" w:color="auto" w:sz="4" w:space="0"/>
              <w:left w:val="dotted" w:color="auto" w:sz="4" w:space="0"/>
              <w:bottom w:val="double"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fldChar w:fldCharType="begin"/>
            </w:r>
            <w:r>
              <w:rPr>
                <w:rFonts w:hint="eastAsia" w:ascii="宋体" w:hAnsi="宋体" w:eastAsia="宋体" w:cs="宋体"/>
                <w:kern w:val="2"/>
                <w:sz w:val="24"/>
                <w:szCs w:val="24"/>
                <w:vertAlign w:val="baseline"/>
                <w:lang w:val="en-US" w:eastAsia="zh-CN" w:bidi="ar-SA"/>
              </w:rPr>
              <w:instrText xml:space="preserve"> = sum(B2:B8) \* MERGEFORMAT </w:instrText>
            </w:r>
            <w:r>
              <w:rPr>
                <w:rFonts w:hint="eastAsia" w:ascii="宋体" w:hAnsi="宋体" w:eastAsia="宋体" w:cs="宋体"/>
                <w:kern w:val="2"/>
                <w:sz w:val="24"/>
                <w:szCs w:val="24"/>
                <w:vertAlign w:val="baseline"/>
                <w:lang w:val="en-US" w:eastAsia="zh-CN" w:bidi="ar-SA"/>
              </w:rPr>
              <w:fldChar w:fldCharType="separate"/>
            </w:r>
            <w:r>
              <w:rPr>
                <w:rFonts w:hint="eastAsia" w:ascii="宋体" w:hAnsi="宋体" w:eastAsia="宋体" w:cs="宋体"/>
                <w:kern w:val="2"/>
                <w:sz w:val="24"/>
                <w:szCs w:val="24"/>
                <w:vertAlign w:val="baseline"/>
                <w:lang w:val="en-US" w:eastAsia="zh-CN" w:bidi="ar-SA"/>
              </w:rPr>
              <w:t>2,951.86</w:t>
            </w:r>
            <w:r>
              <w:rPr>
                <w:rFonts w:hint="eastAsia" w:ascii="宋体" w:hAnsi="宋体" w:eastAsia="宋体" w:cs="宋体"/>
                <w:kern w:val="2"/>
                <w:sz w:val="24"/>
                <w:szCs w:val="24"/>
                <w:vertAlign w:val="baseline"/>
                <w:lang w:val="en-US" w:eastAsia="zh-CN" w:bidi="ar-SA"/>
              </w:rPr>
              <w:fldChar w:fldCharType="end"/>
            </w:r>
          </w:p>
        </w:tc>
      </w:tr>
    </w:tbl>
    <w:p>
      <w:pPr>
        <w:pStyle w:val="6"/>
        <w:keepNext w:val="0"/>
        <w:keepLines w:val="0"/>
        <w:pageBreakBefore w:val="0"/>
        <w:widowControl w:val="0"/>
        <w:kinsoku/>
        <w:wordWrap/>
        <w:overflowPunct/>
        <w:topLinePunct w:val="0"/>
        <w:autoSpaceDE/>
        <w:autoSpaceDN/>
        <w:bidi w:val="0"/>
        <w:adjustRightInd/>
        <w:snapToGrid/>
        <w:spacing w:before="199" w:beforeLines="50"/>
        <w:textAlignment w:val="auto"/>
        <w:rPr>
          <w:rFonts w:hint="default"/>
          <w:lang w:val="en-US" w:eastAsia="zh-CN"/>
        </w:rPr>
      </w:pPr>
      <w:r>
        <w:rPr>
          <w:rFonts w:hint="eastAsia"/>
          <w:lang w:val="en-US" w:eastAsia="zh-CN"/>
        </w:rPr>
        <w:t>2.资金使用情况</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rPr>
          <w:rFonts w:hint="eastAsia" w:ascii="宋体" w:hAnsi="宋体" w:eastAsia="宋体" w:cs="宋体"/>
          <w:kern w:val="2"/>
          <w:sz w:val="28"/>
          <w:szCs w:val="24"/>
          <w:lang w:val="en-US" w:eastAsia="zh-CN" w:bidi="ar-SA"/>
        </w:rPr>
      </w:pPr>
      <w:r>
        <w:rPr>
          <w:rFonts w:hint="eastAsia" w:ascii="仿宋_GB2312" w:hAnsi="仿宋_GB2312" w:eastAsia="仿宋_GB2312" w:cs="仿宋_GB2312"/>
          <w:kern w:val="2"/>
          <w:sz w:val="28"/>
          <w:szCs w:val="24"/>
          <w:lang w:val="en-US" w:eastAsia="zh-CN" w:bidi="ar-SA"/>
        </w:rPr>
        <w:t>根据对</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相关财务资料核查，2020年度下达</w:t>
      </w:r>
      <w:r>
        <w:rPr>
          <w:rFonts w:hint="eastAsia" w:ascii="仿宋_GB2312" w:hAnsi="仿宋_GB2312" w:cs="仿宋_GB2312"/>
          <w:kern w:val="2"/>
          <w:sz w:val="28"/>
          <w:szCs w:val="24"/>
          <w:lang w:val="en-US" w:eastAsia="zh-CN" w:bidi="ar-SA"/>
        </w:rPr>
        <w:t>水利水保局</w:t>
      </w:r>
      <w:r>
        <w:rPr>
          <w:rFonts w:hint="eastAsia" w:ascii="仿宋_GB2312" w:hAnsi="仿宋_GB2312" w:eastAsia="仿宋_GB2312" w:cs="仿宋_GB2312"/>
          <w:kern w:val="2"/>
          <w:sz w:val="28"/>
          <w:szCs w:val="24"/>
          <w:lang w:val="en-US" w:eastAsia="zh-CN" w:bidi="ar-SA"/>
        </w:rPr>
        <w:t>统筹整合资金共计2</w:t>
      </w:r>
      <w:r>
        <w:rPr>
          <w:rFonts w:hint="eastAsia" w:ascii="仿宋_GB2312"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951.86万元，用于7个项目，</w:t>
      </w:r>
      <w:r>
        <w:rPr>
          <w:rFonts w:hint="eastAsia" w:ascii="仿宋_GB2312" w:hAnsi="仿宋_GB2312" w:cs="仿宋_GB2312"/>
          <w:kern w:val="2"/>
          <w:sz w:val="28"/>
          <w:szCs w:val="24"/>
          <w:lang w:val="en-US" w:eastAsia="zh-CN" w:bidi="ar-SA"/>
        </w:rPr>
        <w:t>截至</w:t>
      </w:r>
      <w:r>
        <w:rPr>
          <w:rFonts w:hint="eastAsia" w:ascii="仿宋_GB2312" w:hAnsi="仿宋_GB2312" w:eastAsia="仿宋_GB2312" w:cs="仿宋_GB2312"/>
          <w:kern w:val="2"/>
          <w:sz w:val="28"/>
          <w:szCs w:val="24"/>
          <w:lang w:val="en-US" w:eastAsia="zh-CN" w:bidi="ar-SA"/>
        </w:rPr>
        <w:t>2020年12月31日，共支出2</w:t>
      </w:r>
      <w:r>
        <w:rPr>
          <w:rFonts w:hint="eastAsia" w:ascii="仿宋_GB2312"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917.32万元，结余34.54万元，预算执行率98.85%，具体资金支出明细如下</w:t>
      </w:r>
      <w:r>
        <w:rPr>
          <w:rFonts w:hint="eastAsia" w:ascii="仿宋_GB2312" w:hAnsi="仿宋_GB2312" w:cs="仿宋_GB2312"/>
          <w:kern w:val="2"/>
          <w:sz w:val="28"/>
          <w:szCs w:val="24"/>
          <w:lang w:val="en-US" w:eastAsia="zh-CN" w:bidi="ar-SA"/>
        </w:rPr>
        <w:t>表1-2</w:t>
      </w:r>
      <w:r>
        <w:rPr>
          <w:rFonts w:hint="eastAsia" w:ascii="仿宋_GB2312" w:hAnsi="仿宋_GB2312" w:eastAsia="仿宋_GB2312" w:cs="仿宋_GB2312"/>
          <w:kern w:val="2"/>
          <w:sz w:val="28"/>
          <w:szCs w:val="24"/>
          <w:lang w:val="en-US" w:eastAsia="zh-CN" w:bidi="ar-SA"/>
        </w:rPr>
        <w:t>：</w:t>
      </w:r>
      <w:bookmarkStart w:id="36" w:name="_Toc17056_WPSOffice_Level3"/>
      <w:bookmarkStart w:id="37" w:name="_Toc4334_WPSOffice_Level3"/>
      <w:bookmarkStart w:id="38" w:name="_Toc21298_WPSOffice_Level3"/>
    </w:p>
    <w:p>
      <w:pPr>
        <w:pStyle w:val="2"/>
        <w:keepNext w:val="0"/>
        <w:keepLines w:val="0"/>
        <w:pageBreakBefore w:val="0"/>
        <w:widowControl/>
        <w:kinsoku/>
        <w:wordWrap/>
        <w:overflowPunct w:val="0"/>
        <w:topLinePunct w:val="0"/>
        <w:autoSpaceDE/>
        <w:autoSpaceDN/>
        <w:bidi w:val="0"/>
        <w:adjustRightInd/>
        <w:snapToGrid/>
        <w:spacing w:before="0"/>
        <w:ind w:left="0" w:leftChars="0" w:firstLine="0" w:firstLineChars="0"/>
        <w:jc w:val="center"/>
        <w:textAlignment w:val="auto"/>
        <w:rPr>
          <w:rFonts w:hint="eastAsia" w:ascii="宋体" w:hAnsi="宋体" w:eastAsia="宋体" w:cs="宋体"/>
          <w:kern w:val="2"/>
          <w:sz w:val="28"/>
          <w:szCs w:val="24"/>
          <w:lang w:val="en-US" w:eastAsia="zh-CN" w:bidi="ar-SA"/>
        </w:rPr>
      </w:pPr>
      <w:r>
        <w:rPr>
          <w:rFonts w:hint="eastAsia" w:ascii="宋体" w:hAnsi="宋体" w:eastAsia="宋体" w:cs="宋体"/>
          <w:kern w:val="2"/>
          <w:sz w:val="28"/>
          <w:szCs w:val="24"/>
          <w:lang w:val="en-US" w:eastAsia="zh-CN" w:bidi="ar-SA"/>
        </w:rPr>
        <w:t>表1-2 2020年度水利水保局资金支出明细</w:t>
      </w:r>
      <w:bookmarkEnd w:id="36"/>
      <w:bookmarkEnd w:id="37"/>
      <w:bookmarkEnd w:id="38"/>
    </w:p>
    <w:p>
      <w:pPr>
        <w:pStyle w:val="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 w:val="28"/>
          <w:szCs w:val="28"/>
          <w:lang w:val="en-US" w:eastAsia="zh-CN"/>
        </w:rPr>
      </w:pPr>
      <w:r>
        <w:rPr>
          <w:rFonts w:hint="eastAsia" w:hAnsi="宋体" w:eastAsia="宋体" w:cs="宋体"/>
          <w:kern w:val="2"/>
          <w:sz w:val="28"/>
          <w:szCs w:val="28"/>
          <w:lang w:val="en-US" w:eastAsia="zh-CN" w:bidi="ar-SA"/>
        </w:rPr>
        <w:t xml:space="preserve">                                               单位：万元</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1278"/>
        <w:gridCol w:w="1203"/>
        <w:gridCol w:w="852"/>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4072" w:type="dxa"/>
            <w:tcBorders>
              <w:top w:val="double" w:color="auto" w:sz="4" w:space="0"/>
              <w:left w:val="nil"/>
              <w:bottom w:val="dotted" w:color="auto" w:sz="4" w:space="0"/>
              <w:right w:val="dotted" w:color="auto" w:sz="4" w:space="0"/>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项目</w:t>
            </w:r>
          </w:p>
        </w:tc>
        <w:tc>
          <w:tcPr>
            <w:tcW w:w="1278" w:type="dxa"/>
            <w:tcBorders>
              <w:top w:val="double" w:color="auto" w:sz="4" w:space="0"/>
              <w:left w:val="dotted" w:color="auto" w:sz="4" w:space="0"/>
              <w:bottom w:val="dotted" w:color="auto" w:sz="4" w:space="0"/>
              <w:right w:val="dotted" w:color="auto" w:sz="4" w:space="0"/>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下达资金额</w:t>
            </w:r>
          </w:p>
        </w:tc>
        <w:tc>
          <w:tcPr>
            <w:tcW w:w="1203" w:type="dxa"/>
            <w:tcBorders>
              <w:top w:val="double" w:color="auto" w:sz="4" w:space="0"/>
              <w:left w:val="dotted" w:color="auto" w:sz="4" w:space="0"/>
              <w:bottom w:val="dotted" w:color="auto" w:sz="4" w:space="0"/>
              <w:right w:val="dotted" w:color="auto" w:sz="4" w:space="0"/>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实际支出金额</w:t>
            </w:r>
          </w:p>
        </w:tc>
        <w:tc>
          <w:tcPr>
            <w:tcW w:w="852" w:type="dxa"/>
            <w:tcBorders>
              <w:top w:val="double" w:color="auto" w:sz="4" w:space="0"/>
              <w:left w:val="dotted" w:color="auto" w:sz="4" w:space="0"/>
              <w:bottom w:val="dotted" w:color="auto" w:sz="4" w:space="0"/>
              <w:right w:val="dotted" w:color="auto" w:sz="4" w:space="0"/>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结余金额</w:t>
            </w:r>
          </w:p>
        </w:tc>
        <w:tc>
          <w:tcPr>
            <w:tcW w:w="1117" w:type="dxa"/>
            <w:tcBorders>
              <w:top w:val="double" w:color="auto" w:sz="4" w:space="0"/>
              <w:left w:val="dotted" w:color="auto" w:sz="4" w:space="0"/>
              <w:bottom w:val="dotted" w:color="auto" w:sz="4" w:space="0"/>
              <w:right w:val="nil"/>
            </w:tcBorders>
            <w:shd w:val="clear" w:color="auto" w:fill="BEBEBE" w:themeFill="background1" w:themeFillShade="BF"/>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b/>
                <w:bCs/>
                <w:kern w:val="2"/>
                <w:sz w:val="24"/>
                <w:szCs w:val="24"/>
                <w:vertAlign w:val="baseline"/>
                <w:lang w:val="en-US" w:eastAsia="zh-CN" w:bidi="ar-SA"/>
              </w:rPr>
            </w:pPr>
            <w:r>
              <w:rPr>
                <w:rFonts w:hint="eastAsia" w:ascii="宋体" w:hAnsi="宋体" w:eastAsia="宋体" w:cs="宋体"/>
                <w:b/>
                <w:bCs/>
                <w:kern w:val="2"/>
                <w:sz w:val="24"/>
                <w:szCs w:val="24"/>
                <w:vertAlign w:val="baseline"/>
                <w:lang w:val="en-US" w:eastAsia="zh-CN" w:bidi="ar-SA"/>
              </w:rPr>
              <w:t>预算执行率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恢河流域综合治理与生态修复工程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400.00</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398.61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1.39 </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99.65%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2020年以工代赈灾毁水毁护村护地坝工程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294.00</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261.45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32.55 </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88.93%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2020农村饮水安全巩固提升及维修养护工程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882.10</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882.10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2019年农村饮水安全巩固提升及维修养护工程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642.00</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641.39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0.61 </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99.91%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2018年农村饮水安全巩固提升及维修养护工程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221.64</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221.64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2017年农村饮水安全巩固提升及维修养护工程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394.62</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394.62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0 </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2017年以前年度农村饮水安全工程硬化路面恢复工程</w:t>
            </w:r>
          </w:p>
        </w:tc>
        <w:tc>
          <w:tcPr>
            <w:tcW w:w="1278"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117.51</w:t>
            </w:r>
          </w:p>
        </w:tc>
        <w:tc>
          <w:tcPr>
            <w:tcW w:w="1203"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117.51 </w:t>
            </w:r>
          </w:p>
        </w:tc>
        <w:tc>
          <w:tcPr>
            <w:tcW w:w="852" w:type="dxa"/>
            <w:tcBorders>
              <w:top w:val="dotted" w:color="auto" w:sz="4" w:space="0"/>
              <w:left w:val="dotted" w:color="auto" w:sz="4" w:space="0"/>
              <w:bottom w:val="dotted"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0</w:t>
            </w:r>
          </w:p>
        </w:tc>
        <w:tc>
          <w:tcPr>
            <w:tcW w:w="1117" w:type="dxa"/>
            <w:tcBorders>
              <w:top w:val="dotted" w:color="auto" w:sz="4" w:space="0"/>
              <w:left w:val="dotted" w:color="auto" w:sz="4" w:space="0"/>
              <w:bottom w:val="dotted"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72" w:type="dxa"/>
            <w:tcBorders>
              <w:top w:val="dotted" w:color="auto" w:sz="4" w:space="0"/>
              <w:left w:val="nil"/>
              <w:bottom w:val="double"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合计</w:t>
            </w:r>
          </w:p>
        </w:tc>
        <w:tc>
          <w:tcPr>
            <w:tcW w:w="1278"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eastAsia"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2,951.86</w:t>
            </w:r>
          </w:p>
        </w:tc>
        <w:tc>
          <w:tcPr>
            <w:tcW w:w="1203"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2,917.32 </w:t>
            </w:r>
          </w:p>
        </w:tc>
        <w:tc>
          <w:tcPr>
            <w:tcW w:w="852" w:type="dxa"/>
            <w:tcBorders>
              <w:top w:val="dotted" w:color="auto" w:sz="4" w:space="0"/>
              <w:left w:val="dotted" w:color="auto" w:sz="4" w:space="0"/>
              <w:bottom w:val="double" w:color="auto" w:sz="4" w:space="0"/>
              <w:right w:val="dotted" w:color="auto" w:sz="4" w:space="0"/>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 xml:space="preserve">34.54 </w:t>
            </w:r>
          </w:p>
        </w:tc>
        <w:tc>
          <w:tcPr>
            <w:tcW w:w="1117" w:type="dxa"/>
            <w:tcBorders>
              <w:top w:val="dotted" w:color="auto" w:sz="4" w:space="0"/>
              <w:left w:val="dotted" w:color="auto" w:sz="4" w:space="0"/>
              <w:bottom w:val="double" w:color="auto" w:sz="4" w:space="0"/>
              <w:right w:val="nil"/>
            </w:tcBorders>
            <w:vAlign w:val="center"/>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Chars="0" w:firstLine="0" w:firstLineChars="0"/>
              <w:jc w:val="center"/>
              <w:textAlignment w:val="auto"/>
              <w:rPr>
                <w:rFonts w:hint="default" w:ascii="宋体" w:hAnsi="宋体" w:eastAsia="宋体" w:cs="宋体"/>
                <w:kern w:val="2"/>
                <w:sz w:val="24"/>
                <w:szCs w:val="24"/>
                <w:vertAlign w:val="baseline"/>
                <w:lang w:val="en-US" w:eastAsia="zh-CN" w:bidi="ar-SA"/>
              </w:rPr>
            </w:pPr>
            <w:r>
              <w:rPr>
                <w:rFonts w:hint="eastAsia" w:ascii="宋体" w:hAnsi="宋体" w:eastAsia="宋体" w:cs="宋体"/>
                <w:kern w:val="2"/>
                <w:sz w:val="24"/>
                <w:szCs w:val="24"/>
                <w:vertAlign w:val="baseline"/>
                <w:lang w:val="en-US" w:eastAsia="zh-CN" w:bidi="ar-SA"/>
              </w:rPr>
              <w:t>98.83%</w:t>
            </w:r>
          </w:p>
        </w:tc>
      </w:tr>
    </w:tbl>
    <w:p>
      <w:pPr>
        <w:pStyle w:val="5"/>
        <w:keepNext w:val="0"/>
        <w:keepLines w:val="0"/>
        <w:pageBreakBefore w:val="0"/>
        <w:widowControl w:val="0"/>
        <w:kinsoku/>
        <w:wordWrap/>
        <w:overflowPunct/>
        <w:topLinePunct w:val="0"/>
        <w:autoSpaceDE/>
        <w:autoSpaceDN/>
        <w:bidi w:val="0"/>
        <w:adjustRightInd/>
        <w:snapToGrid/>
        <w:spacing w:before="199" w:beforeLines="50"/>
        <w:ind w:firstLine="560"/>
        <w:textAlignment w:val="auto"/>
      </w:pPr>
      <w:bookmarkStart w:id="39" w:name="_Toc7641"/>
      <w:bookmarkStart w:id="40" w:name="_Toc11192"/>
      <w:bookmarkStart w:id="41" w:name="_Toc9016"/>
      <w:r>
        <w:rPr>
          <w:rFonts w:hint="eastAsia"/>
        </w:rPr>
        <w:t>（</w:t>
      </w:r>
      <w:r>
        <w:rPr>
          <w:rFonts w:hint="eastAsia"/>
          <w:lang w:val="en-US" w:eastAsia="zh-CN"/>
        </w:rPr>
        <w:t>四</w:t>
      </w:r>
      <w:r>
        <w:rPr>
          <w:rFonts w:hint="eastAsia"/>
        </w:rPr>
        <w:t>）项目绩效目标</w:t>
      </w:r>
      <w:bookmarkEnd w:id="39"/>
      <w:bookmarkEnd w:id="40"/>
    </w:p>
    <w:p>
      <w:pPr>
        <w:pStyle w:val="6"/>
        <w:bidi w:val="0"/>
        <w:rPr>
          <w:rFonts w:hint="eastAsia"/>
          <w:lang w:val="en-US" w:eastAsia="zh-CN"/>
        </w:rPr>
      </w:pPr>
      <w:r>
        <w:rPr>
          <w:rFonts w:hint="eastAsia"/>
          <w:lang w:val="en-US" w:eastAsia="zh-CN"/>
        </w:rPr>
        <w:t>1.总体目标</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eastAsia="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通过统筹整合资金，继续开展2020年度农村饮水安全工程，提高农村供水能力，提高农村集中供水率，在水源地设置保护标识，建立水源保护地；修建修复8个村护村护地坝，保护周围土地、房屋、农田及其他人民财产和生命安全，贯彻市发改委文件指示，提高劳务报酬在以工代赈资金占比，提高农民工务工收入，实现脱贫增收。</w:t>
      </w:r>
    </w:p>
    <w:p>
      <w:pPr>
        <w:pStyle w:val="6"/>
        <w:bidi w:val="0"/>
        <w:rPr>
          <w:rFonts w:hint="eastAsia"/>
          <w:lang w:val="en-US" w:eastAsia="zh-CN"/>
        </w:rPr>
      </w:pPr>
      <w:r>
        <w:rPr>
          <w:rFonts w:hint="eastAsia"/>
          <w:lang w:val="en-US" w:eastAsia="zh-CN"/>
        </w:rPr>
        <w:t>2.具体目标</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val="0"/>
          <w:bCs w:val="0"/>
          <w:kern w:val="2"/>
          <w:sz w:val="28"/>
          <w:szCs w:val="24"/>
          <w:lang w:val="en-US" w:eastAsia="zh-CN" w:bidi="ar-SA"/>
        </w:rPr>
      </w:pPr>
      <w:bookmarkStart w:id="42" w:name="_Toc13523_WPSOffice_Level3"/>
      <w:bookmarkStart w:id="43" w:name="_Toc30972_WPSOffice_Level3"/>
      <w:bookmarkStart w:id="44" w:name="_Toc30681_WPSOffice_Level3"/>
      <w:r>
        <w:rPr>
          <w:rFonts w:hint="eastAsia" w:hAnsi="仿宋_GB2312" w:cs="仿宋_GB2312"/>
          <w:b w:val="0"/>
          <w:bCs w:val="0"/>
          <w:kern w:val="2"/>
          <w:sz w:val="28"/>
          <w:szCs w:val="24"/>
          <w:lang w:val="en-US" w:eastAsia="zh-CN" w:bidi="ar-SA"/>
        </w:rPr>
        <w:t>（1）</w:t>
      </w:r>
      <w:r>
        <w:rPr>
          <w:rFonts w:hint="eastAsia" w:ascii="仿宋_GB2312" w:hAnsi="仿宋_GB2312" w:eastAsia="仿宋_GB2312" w:cs="仿宋_GB2312"/>
          <w:b w:val="0"/>
          <w:bCs w:val="0"/>
          <w:kern w:val="2"/>
          <w:sz w:val="28"/>
          <w:szCs w:val="24"/>
          <w:lang w:val="en-US" w:eastAsia="zh-CN" w:bidi="ar-SA"/>
        </w:rPr>
        <w:t>2020年度农村饮水安全巩固提升及维修养护工程</w:t>
      </w:r>
      <w:bookmarkEnd w:id="42"/>
      <w:bookmarkEnd w:id="43"/>
      <w:bookmarkEnd w:id="44"/>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产出目标：2020年度完成83个村饮水安全巩固提升及维修养护工程，在8个村安装水表计量设施。在计划建设期及投资预算范围内完成建设任务。</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eastAsia"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社会效益目标：通过项目建设提高农村供水能力，保障农村日常用水、满足每人每天40L用水水量；降低农村取水风险，保障农村居民在集中供水点或分散供水点取水往返时间不超过10分钟</w:t>
      </w:r>
      <w:r>
        <w:rPr>
          <w:rFonts w:hint="eastAsia" w:hAnsi="仿宋_GB2312" w:cs="仿宋_GB2312"/>
          <w:b w:val="0"/>
          <w:bCs w:val="0"/>
          <w:kern w:val="2"/>
          <w:sz w:val="28"/>
          <w:szCs w:val="24"/>
          <w:lang w:val="en-US" w:eastAsia="zh-CN" w:bidi="ar-SA"/>
        </w:rPr>
        <w:t>。</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highlight w:val="yellow"/>
          <w:lang w:val="en-US" w:eastAsia="zh-CN" w:bidi="ar-SA"/>
        </w:rPr>
      </w:pPr>
      <w:r>
        <w:rPr>
          <w:rFonts w:hint="eastAsia" w:ascii="仿宋_GB2312" w:hAnsi="仿宋_GB2312" w:cs="仿宋_GB2312"/>
          <w:b w:val="0"/>
          <w:bCs w:val="0"/>
          <w:kern w:val="2"/>
          <w:sz w:val="28"/>
          <w:szCs w:val="24"/>
          <w:lang w:val="en-US" w:eastAsia="zh-CN" w:bidi="ar-SA"/>
        </w:rPr>
        <w:t>可持续影响目标：通过项目建设</w:t>
      </w:r>
      <w:r>
        <w:rPr>
          <w:rFonts w:hint="eastAsia" w:ascii="仿宋_GB2312" w:hAnsi="仿宋_GB2312" w:cs="仿宋_GB2312"/>
          <w:b w:val="0"/>
          <w:bCs w:val="0"/>
          <w:kern w:val="2"/>
          <w:sz w:val="28"/>
          <w:szCs w:val="24"/>
          <w:highlight w:val="none"/>
          <w:lang w:val="en-US" w:eastAsia="zh-CN" w:bidi="ar-SA"/>
        </w:rPr>
        <w:t>提高农村饮水水质、减少涉水性疾病，提高农村居民健康水平；科学管理农村用水运行机制。</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val="0"/>
          <w:bCs w:val="0"/>
          <w:kern w:val="2"/>
          <w:sz w:val="28"/>
          <w:szCs w:val="24"/>
          <w:lang w:val="en-US" w:eastAsia="zh-CN" w:bidi="ar-SA"/>
        </w:rPr>
      </w:pPr>
      <w:bookmarkStart w:id="45" w:name="_Toc14657_WPSOffice_Level3"/>
      <w:bookmarkStart w:id="46" w:name="_Toc5711_WPSOffice_Level3"/>
      <w:bookmarkStart w:id="47" w:name="_Toc17918_WPSOffice_Level3"/>
      <w:r>
        <w:rPr>
          <w:rFonts w:hint="eastAsia" w:hAnsi="仿宋_GB2312" w:cs="仿宋_GB2312"/>
          <w:b w:val="0"/>
          <w:bCs w:val="0"/>
          <w:kern w:val="2"/>
          <w:sz w:val="28"/>
          <w:szCs w:val="24"/>
          <w:lang w:val="en-US" w:eastAsia="zh-CN" w:bidi="ar-SA"/>
        </w:rPr>
        <w:t>（2）</w:t>
      </w:r>
      <w:r>
        <w:rPr>
          <w:rFonts w:hint="eastAsia" w:ascii="仿宋_GB2312" w:hAnsi="仿宋_GB2312" w:eastAsia="仿宋_GB2312" w:cs="仿宋_GB2312"/>
          <w:b w:val="0"/>
          <w:bCs w:val="0"/>
          <w:kern w:val="2"/>
          <w:sz w:val="28"/>
          <w:szCs w:val="24"/>
          <w:lang w:val="en-US" w:eastAsia="zh-CN" w:bidi="ar-SA"/>
        </w:rPr>
        <w:t>2020年以工代赈灾毁水毁护村护地坝</w:t>
      </w:r>
      <w:bookmarkEnd w:id="45"/>
      <w:bookmarkEnd w:id="46"/>
      <w:bookmarkEnd w:id="47"/>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产出目标：修复修建8个村护村护地坝，新建浆砌石护坝1723m，铅丝笼护坝、丁坝180m、河道清淤3165m³、铅丝笼护底44m³、旧坝加固165m。在计划建设期及投资预算范围内完成建设任务。</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eastAsia"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社会效益目标：通过发放以工代赈劳务报酬，增加农民工务工收入共计44.1</w:t>
      </w:r>
      <w:r>
        <w:rPr>
          <w:rFonts w:hint="eastAsia" w:hAnsi="仿宋_GB2312" w:cs="仿宋_GB2312"/>
          <w:b w:val="0"/>
          <w:bCs w:val="0"/>
          <w:kern w:val="2"/>
          <w:sz w:val="28"/>
          <w:szCs w:val="24"/>
          <w:lang w:val="en-US" w:eastAsia="zh-CN" w:bidi="ar-SA"/>
        </w:rPr>
        <w:t>0</w:t>
      </w:r>
      <w:r>
        <w:rPr>
          <w:rFonts w:hint="eastAsia" w:ascii="仿宋_GB2312" w:hAnsi="仿宋_GB2312" w:cs="仿宋_GB2312"/>
          <w:b w:val="0"/>
          <w:bCs w:val="0"/>
          <w:kern w:val="2"/>
          <w:sz w:val="28"/>
          <w:szCs w:val="24"/>
          <w:lang w:val="en-US" w:eastAsia="zh-CN" w:bidi="ar-SA"/>
        </w:rPr>
        <w:t>万元；提高贫困户在务工人员中比例，提高贫困户务工收入；通过修复修建护村护地坝保护沿岸农田、房屋及人民生命财产安全。</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可持续影响目标：通过项目建设有效减少水土流失面积。</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rPr>
          <w:rFonts w:hint="eastAsia" w:ascii="仿宋_GB2312" w:hAnsi="仿宋_GB2312" w:eastAsia="仿宋_GB2312" w:cs="仿宋_GB2312"/>
          <w:b w:val="0"/>
          <w:bCs w:val="0"/>
          <w:kern w:val="2"/>
          <w:sz w:val="28"/>
          <w:szCs w:val="24"/>
          <w:lang w:val="en-US" w:eastAsia="zh-CN" w:bidi="ar-SA"/>
        </w:rPr>
      </w:pPr>
      <w:r>
        <w:rPr>
          <w:rFonts w:hint="eastAsia" w:hAnsi="仿宋_GB2312" w:cs="仿宋_GB2312"/>
          <w:b w:val="0"/>
          <w:bCs w:val="0"/>
          <w:kern w:val="2"/>
          <w:sz w:val="28"/>
          <w:szCs w:val="24"/>
          <w:lang w:val="en-US" w:eastAsia="zh-CN" w:bidi="ar-SA"/>
        </w:rPr>
        <w:t>（3）</w:t>
      </w:r>
      <w:r>
        <w:rPr>
          <w:rFonts w:hint="eastAsia" w:ascii="仿宋_GB2312" w:hAnsi="仿宋_GB2312" w:eastAsia="仿宋_GB2312" w:cs="仿宋_GB2312"/>
          <w:b w:val="0"/>
          <w:bCs w:val="0"/>
          <w:kern w:val="2"/>
          <w:sz w:val="28"/>
          <w:szCs w:val="24"/>
          <w:lang w:val="en-US" w:eastAsia="zh-CN" w:bidi="ar-SA"/>
        </w:rPr>
        <w:t>恢河流域综合治理与生态修复工程</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产出目标：治理河道8.5</w:t>
      </w:r>
      <w:r>
        <w:rPr>
          <w:rFonts w:hint="eastAsia" w:hAnsi="仿宋_GB2312" w:cs="仿宋_GB2312"/>
          <w:b w:val="0"/>
          <w:bCs w:val="0"/>
          <w:kern w:val="2"/>
          <w:sz w:val="28"/>
          <w:szCs w:val="24"/>
          <w:lang w:val="en-US" w:eastAsia="zh-CN" w:bidi="ar-SA"/>
        </w:rPr>
        <w:t>0</w:t>
      </w:r>
      <w:r>
        <w:rPr>
          <w:rFonts w:hint="eastAsia" w:ascii="仿宋_GB2312" w:hAnsi="仿宋_GB2312" w:cs="仿宋_GB2312"/>
          <w:b w:val="0"/>
          <w:bCs w:val="0"/>
          <w:kern w:val="2"/>
          <w:sz w:val="28"/>
          <w:szCs w:val="24"/>
          <w:lang w:val="en-US" w:eastAsia="zh-CN" w:bidi="ar-SA"/>
        </w:rPr>
        <w:t>㎞，新增经济林面积300亩。在计划建设期及投资预算范围内完成建设任务。</w:t>
      </w:r>
    </w:p>
    <w:p>
      <w:pPr>
        <w:keepNext w:val="0"/>
        <w:keepLines w:val="0"/>
        <w:pageBreakBefore w:val="0"/>
        <w:widowControl w:val="0"/>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生态效益目标：通过项目建设提高植被覆盖面积280亩，改善项目建设区域生态环境；通过河道清淤，减少河道淤积，提高河道行洪能力，修建河道堤防及防冲坎，建设建成保护能力强、泄洪能力高的生态堤防。</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社会效益目标：提高建设区域人居环境，通过湿地及林地建设，改善区域生态环境、提高居住环境质量。</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default" w:ascii="仿宋_GB2312" w:hAnsi="仿宋_GB2312" w:cs="仿宋_GB2312"/>
          <w:b w:val="0"/>
          <w:bCs w:val="0"/>
          <w:kern w:val="2"/>
          <w:sz w:val="28"/>
          <w:szCs w:val="24"/>
          <w:lang w:val="en-US" w:eastAsia="zh-CN" w:bidi="ar-SA"/>
        </w:rPr>
      </w:pPr>
      <w:r>
        <w:rPr>
          <w:rFonts w:hint="eastAsia" w:ascii="仿宋_GB2312" w:hAnsi="仿宋_GB2312" w:cs="仿宋_GB2312"/>
          <w:b w:val="0"/>
          <w:bCs w:val="0"/>
          <w:kern w:val="2"/>
          <w:sz w:val="28"/>
          <w:szCs w:val="24"/>
          <w:lang w:val="en-US" w:eastAsia="zh-CN" w:bidi="ar-SA"/>
        </w:rPr>
        <w:t>可持续影响目标：通过项目建设，持续改善源头水质，提高水源涵养能力，减少沿线水土流失面积。</w:t>
      </w:r>
    </w:p>
    <w:p>
      <w:pPr>
        <w:pStyle w:val="4"/>
        <w:keepNext w:val="0"/>
        <w:keepLines w:val="0"/>
        <w:pageBreakBefore w:val="0"/>
        <w:widowControl w:val="0"/>
        <w:kinsoku/>
        <w:wordWrap/>
        <w:overflowPunct/>
        <w:topLinePunct w:val="0"/>
        <w:autoSpaceDE/>
        <w:autoSpaceDN/>
        <w:bidi w:val="0"/>
        <w:adjustRightInd/>
        <w:snapToGrid/>
        <w:textAlignment w:val="auto"/>
      </w:pPr>
      <w:bookmarkStart w:id="48" w:name="_Toc4352"/>
      <w:r>
        <w:rPr>
          <w:rFonts w:hint="eastAsia"/>
        </w:rPr>
        <w:t>二、绩效评价工作情况</w:t>
      </w:r>
      <w:bookmarkEnd w:id="41"/>
      <w:bookmarkEnd w:id="48"/>
    </w:p>
    <w:p>
      <w:pPr>
        <w:pStyle w:val="5"/>
        <w:keepNext w:val="0"/>
        <w:keepLines w:val="0"/>
        <w:pageBreakBefore w:val="0"/>
        <w:widowControl w:val="0"/>
        <w:kinsoku/>
        <w:wordWrap/>
        <w:overflowPunct/>
        <w:topLinePunct w:val="0"/>
        <w:autoSpaceDE/>
        <w:autoSpaceDN/>
        <w:bidi w:val="0"/>
        <w:adjustRightInd/>
        <w:snapToGrid/>
        <w:ind w:firstLine="560"/>
        <w:textAlignment w:val="auto"/>
        <w:rPr>
          <w:rFonts w:hint="default" w:eastAsia="楷体_GB2312"/>
          <w:lang w:val="en-US" w:eastAsia="zh-CN"/>
        </w:rPr>
      </w:pPr>
      <w:bookmarkStart w:id="49" w:name="_Toc453771161"/>
      <w:bookmarkStart w:id="50" w:name="_Toc26925"/>
      <w:bookmarkStart w:id="51" w:name="_Toc25672"/>
      <w:bookmarkStart w:id="52" w:name="_Toc16866"/>
      <w:bookmarkStart w:id="53" w:name="_Toc7828"/>
      <w:bookmarkStart w:id="54" w:name="_Toc15520"/>
      <w:bookmarkStart w:id="55" w:name="_Toc5521"/>
      <w:bookmarkStart w:id="56" w:name="_Toc16373"/>
      <w:bookmarkStart w:id="57" w:name="_Toc18140"/>
      <w:bookmarkStart w:id="58" w:name="_Toc26830"/>
      <w:bookmarkStart w:id="59" w:name="_Toc29023"/>
      <w:bookmarkStart w:id="60" w:name="_Toc12882"/>
      <w:bookmarkStart w:id="61" w:name="_Toc1863"/>
      <w:bookmarkStart w:id="62" w:name="_Toc5323"/>
      <w:bookmarkStart w:id="63" w:name="_Toc453771162"/>
      <w:r>
        <w:rPr>
          <w:rFonts w:hint="eastAsia"/>
        </w:rPr>
        <w:t>（</w:t>
      </w:r>
      <w:r>
        <w:rPr>
          <w:rFonts w:hint="eastAsia"/>
          <w:lang w:val="en-US" w:eastAsia="zh-CN"/>
        </w:rPr>
        <w:t>一</w:t>
      </w:r>
      <w:r>
        <w:rPr>
          <w:rFonts w:hint="eastAsia"/>
        </w:rPr>
        <w:t>）评价目</w:t>
      </w:r>
      <w:bookmarkEnd w:id="49"/>
      <w:bookmarkEnd w:id="50"/>
      <w:r>
        <w:rPr>
          <w:rFonts w:hint="eastAsia"/>
        </w:rPr>
        <w:t>的</w:t>
      </w:r>
      <w:bookmarkEnd w:id="51"/>
      <w:bookmarkEnd w:id="52"/>
      <w:bookmarkEnd w:id="53"/>
      <w:bookmarkEnd w:id="54"/>
      <w:bookmarkEnd w:id="55"/>
      <w:bookmarkEnd w:id="56"/>
    </w:p>
    <w:bookmarkEnd w:id="57"/>
    <w:bookmarkEnd w:id="58"/>
    <w:bookmarkEnd w:id="59"/>
    <w:bookmarkEnd w:id="60"/>
    <w:bookmarkEnd w:id="61"/>
    <w:bookmarkEnd w:id="62"/>
    <w:bookmarkEnd w:id="63"/>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eastAsia" w:ascii="仿宋_GB2312" w:hAnsi="仿宋_GB2312" w:eastAsia="仿宋_GB2312" w:cs="仿宋_GB2312"/>
          <w:i w:val="0"/>
          <w:iCs w:val="0"/>
          <w:caps w:val="0"/>
          <w:color w:val="000000"/>
          <w:spacing w:val="0"/>
          <w:sz w:val="28"/>
          <w:szCs w:val="27"/>
          <w:highlight w:val="none"/>
          <w:lang w:val="en-US" w:eastAsia="zh-CN"/>
        </w:rPr>
      </w:pPr>
      <w:bookmarkStart w:id="64" w:name="_Toc13768"/>
      <w:bookmarkStart w:id="65" w:name="_Toc28304"/>
      <w:bookmarkStart w:id="66" w:name="_Toc3277"/>
      <w:bookmarkStart w:id="67" w:name="_Toc1799"/>
      <w:bookmarkStart w:id="68" w:name="_Toc2784"/>
      <w:bookmarkStart w:id="69" w:name="_Toc21628"/>
      <w:bookmarkStart w:id="70" w:name="_Toc27745"/>
      <w:bookmarkStart w:id="71" w:name="_Toc395"/>
      <w:bookmarkStart w:id="72" w:name="_Toc18405"/>
      <w:bookmarkStart w:id="73" w:name="_Toc1535"/>
      <w:bookmarkStart w:id="74" w:name="_Toc21347"/>
      <w:bookmarkStart w:id="75" w:name="_Toc453771164"/>
      <w:bookmarkStart w:id="76" w:name="_Toc25687"/>
      <w:bookmarkStart w:id="77" w:name="_Toc3630"/>
      <w:r>
        <w:rPr>
          <w:rFonts w:hint="eastAsia" w:ascii="仿宋_GB2312" w:hAnsi="仿宋_GB2312" w:eastAsia="仿宋_GB2312" w:cs="仿宋_GB2312"/>
          <w:i w:val="0"/>
          <w:iCs w:val="0"/>
          <w:caps w:val="0"/>
          <w:color w:val="000000"/>
          <w:spacing w:val="0"/>
          <w:sz w:val="28"/>
          <w:szCs w:val="27"/>
          <w:highlight w:val="none"/>
          <w:lang w:val="en-US" w:eastAsia="zh-CN"/>
        </w:rPr>
        <w:t>本次绩效评价依据</w:t>
      </w:r>
      <w:r>
        <w:rPr>
          <w:rFonts w:hint="eastAsia" w:hAnsi="仿宋_GB2312" w:cs="仿宋_GB2312"/>
          <w:i w:val="0"/>
          <w:iCs w:val="0"/>
          <w:caps w:val="0"/>
          <w:color w:val="000000"/>
          <w:spacing w:val="0"/>
          <w:sz w:val="28"/>
          <w:szCs w:val="27"/>
          <w:highlight w:val="none"/>
          <w:lang w:val="en-US" w:eastAsia="zh-CN"/>
        </w:rPr>
        <w:t>宁武县财政局</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eastAsia" w:hAnsi="仿宋_GB2312" w:eastAsia="仿宋_GB2312" w:cs="仿宋_GB2312"/>
          <w:i w:val="0"/>
          <w:iCs w:val="0"/>
          <w:caps w:val="0"/>
          <w:color w:val="000000"/>
          <w:spacing w:val="0"/>
          <w:sz w:val="28"/>
          <w:szCs w:val="27"/>
          <w:highlight w:val="none"/>
          <w:u w:val="none"/>
          <w:lang w:val="en-US" w:eastAsia="zh-CN"/>
        </w:rPr>
        <w:t>关于开展2020年度项目支出绩效评价工作的通知</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eastAsia" w:hAnsi="仿宋_GB2312" w:eastAsia="仿宋_GB2312" w:cs="仿宋_GB2312"/>
          <w:i w:val="0"/>
          <w:iCs w:val="0"/>
          <w:caps w:val="0"/>
          <w:color w:val="000000"/>
          <w:spacing w:val="0"/>
          <w:sz w:val="28"/>
          <w:szCs w:val="27"/>
          <w:highlight w:val="none"/>
          <w:u w:val="none"/>
          <w:lang w:val="en-US" w:eastAsia="zh-CN"/>
        </w:rPr>
        <w:t>宁财字</w:t>
      </w:r>
      <w:r>
        <w:rPr>
          <w:rFonts w:hint="eastAsia" w:ascii="仿宋_GB2312" w:eastAsia="仿宋_GB2312" w:hAnsiTheme="minorHAnsi" w:cstheme="minorBidi"/>
          <w:kern w:val="2"/>
          <w:sz w:val="28"/>
          <w:szCs w:val="24"/>
          <w:u w:val="none"/>
          <w:lang w:val="en-US" w:eastAsia="zh-CN" w:bidi="ar-SA"/>
        </w:rPr>
        <w:t>〔20</w:t>
      </w:r>
      <w:r>
        <w:rPr>
          <w:rFonts w:hint="eastAsia" w:eastAsia="仿宋_GB2312" w:cstheme="minorBidi"/>
          <w:kern w:val="2"/>
          <w:sz w:val="28"/>
          <w:szCs w:val="24"/>
          <w:u w:val="none"/>
          <w:lang w:val="en-US" w:eastAsia="zh-CN" w:bidi="ar-SA"/>
        </w:rPr>
        <w:t>21</w:t>
      </w:r>
      <w:r>
        <w:rPr>
          <w:rFonts w:hint="eastAsia" w:ascii="仿宋_GB2312" w:eastAsia="仿宋_GB2312" w:hAnsiTheme="minorHAnsi" w:cstheme="minorBidi"/>
          <w:kern w:val="2"/>
          <w:sz w:val="28"/>
          <w:szCs w:val="24"/>
          <w:u w:val="none"/>
          <w:lang w:val="en-US" w:eastAsia="zh-CN" w:bidi="ar-SA"/>
        </w:rPr>
        <w:t>〕</w:t>
      </w:r>
      <w:r>
        <w:rPr>
          <w:rFonts w:hint="eastAsia" w:cstheme="minorBidi"/>
          <w:kern w:val="2"/>
          <w:sz w:val="28"/>
          <w:szCs w:val="24"/>
          <w:u w:val="none"/>
          <w:lang w:val="en-US" w:eastAsia="zh-CN" w:bidi="ar-SA"/>
        </w:rPr>
        <w:t>13</w:t>
      </w:r>
      <w:r>
        <w:rPr>
          <w:rFonts w:hint="eastAsia" w:ascii="仿宋_GB2312" w:eastAsia="仿宋_GB2312" w:hAnsiTheme="minorHAnsi" w:cstheme="minorBidi"/>
          <w:kern w:val="2"/>
          <w:sz w:val="28"/>
          <w:szCs w:val="24"/>
          <w:u w:val="none"/>
          <w:lang w:val="en-US" w:eastAsia="zh-CN" w:bidi="ar-SA"/>
        </w:rPr>
        <w:t>号</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eastAsia" w:ascii="仿宋_GB2312" w:hAnsi="仿宋_GB2312" w:eastAsia="仿宋_GB2312" w:cs="仿宋_GB2312"/>
          <w:i w:val="0"/>
          <w:iCs w:val="0"/>
          <w:caps w:val="0"/>
          <w:color w:val="000000"/>
          <w:spacing w:val="0"/>
          <w:sz w:val="28"/>
          <w:szCs w:val="27"/>
          <w:highlight w:val="none"/>
          <w:lang w:val="en-US" w:eastAsia="zh-CN"/>
        </w:rPr>
        <w:t>，对</w:t>
      </w:r>
      <w:r>
        <w:rPr>
          <w:rFonts w:hint="eastAsia" w:hAnsi="仿宋_GB2312" w:cs="仿宋_GB2312"/>
          <w:i w:val="0"/>
          <w:iCs w:val="0"/>
          <w:caps w:val="0"/>
          <w:color w:val="000000"/>
          <w:spacing w:val="0"/>
          <w:sz w:val="28"/>
          <w:szCs w:val="27"/>
          <w:highlight w:val="none"/>
          <w:u w:val="none"/>
          <w:lang w:val="en-US" w:eastAsia="zh-CN"/>
        </w:rPr>
        <w:t>宁武县水利水保局2020年统筹整合财政资金</w:t>
      </w:r>
      <w:r>
        <w:rPr>
          <w:rFonts w:hint="eastAsia" w:ascii="仿宋_GB2312" w:hAnsi="仿宋_GB2312" w:eastAsia="仿宋_GB2312" w:cs="仿宋_GB2312"/>
          <w:i w:val="0"/>
          <w:iCs w:val="0"/>
          <w:caps w:val="0"/>
          <w:color w:val="000000"/>
          <w:spacing w:val="0"/>
          <w:sz w:val="28"/>
          <w:szCs w:val="27"/>
          <w:highlight w:val="none"/>
          <w:lang w:val="en-US" w:eastAsia="zh-CN"/>
        </w:rPr>
        <w:t>进行绩效评价。通过预算绩效评价，及时发现问题，总结经验，提出改进意见；一是为政府相关决策及下一年度预算安排提供依据；二是为</w:t>
      </w:r>
      <w:r>
        <w:rPr>
          <w:rFonts w:hint="eastAsia" w:hAnsi="仿宋_GB2312" w:cs="仿宋_GB2312"/>
          <w:i w:val="0"/>
          <w:iCs w:val="0"/>
          <w:caps w:val="0"/>
          <w:color w:val="000000"/>
          <w:spacing w:val="0"/>
          <w:sz w:val="28"/>
          <w:szCs w:val="27"/>
          <w:highlight w:val="none"/>
          <w:u w:val="none"/>
          <w:lang w:val="en-US" w:eastAsia="zh-CN"/>
        </w:rPr>
        <w:t>水利水保局</w:t>
      </w:r>
      <w:r>
        <w:rPr>
          <w:rFonts w:hint="eastAsia" w:ascii="仿宋_GB2312" w:hAnsi="仿宋_GB2312" w:eastAsia="仿宋_GB2312" w:cs="仿宋_GB2312"/>
          <w:i w:val="0"/>
          <w:iCs w:val="0"/>
          <w:caps w:val="0"/>
          <w:color w:val="000000"/>
          <w:spacing w:val="0"/>
          <w:sz w:val="28"/>
          <w:szCs w:val="27"/>
          <w:highlight w:val="none"/>
          <w:u w:val="none"/>
          <w:lang w:val="en-US" w:eastAsia="zh-CN"/>
        </w:rPr>
        <w:t>掌握项目动态、优化项目信息反馈机制、加强项目监管，进一步修</w:t>
      </w:r>
      <w:r>
        <w:rPr>
          <w:rFonts w:hint="eastAsia" w:ascii="仿宋_GB2312" w:hAnsi="仿宋_GB2312" w:eastAsia="仿宋_GB2312" w:cs="仿宋_GB2312"/>
          <w:i w:val="0"/>
          <w:iCs w:val="0"/>
          <w:caps w:val="0"/>
          <w:color w:val="000000"/>
          <w:spacing w:val="0"/>
          <w:sz w:val="28"/>
          <w:szCs w:val="27"/>
          <w:highlight w:val="none"/>
          <w:lang w:val="en-US" w:eastAsia="zh-CN"/>
        </w:rPr>
        <w:t>改完善</w:t>
      </w:r>
      <w:r>
        <w:rPr>
          <w:rFonts w:hint="eastAsia" w:hAnsi="仿宋_GB2312" w:cs="仿宋_GB2312"/>
          <w:i w:val="0"/>
          <w:iCs w:val="0"/>
          <w:caps w:val="0"/>
          <w:color w:val="000000"/>
          <w:spacing w:val="0"/>
          <w:sz w:val="28"/>
          <w:szCs w:val="27"/>
          <w:highlight w:val="none"/>
          <w:u w:val="none"/>
          <w:lang w:val="en-US" w:eastAsia="zh-CN"/>
        </w:rPr>
        <w:t>宁武县水利水保局2020年统筹整合财政资金</w:t>
      </w:r>
      <w:r>
        <w:rPr>
          <w:rFonts w:hint="eastAsia" w:ascii="仿宋_GB2312" w:hAnsi="仿宋_GB2312" w:eastAsia="仿宋_GB2312" w:cs="仿宋_GB2312"/>
          <w:i w:val="0"/>
          <w:iCs w:val="0"/>
          <w:caps w:val="0"/>
          <w:color w:val="000000"/>
          <w:spacing w:val="0"/>
          <w:sz w:val="28"/>
          <w:szCs w:val="27"/>
          <w:highlight w:val="none"/>
          <w:u w:val="none"/>
          <w:lang w:val="en-US" w:eastAsia="zh-CN"/>
        </w:rPr>
        <w:t>政策</w:t>
      </w:r>
      <w:r>
        <w:rPr>
          <w:rFonts w:hint="eastAsia" w:ascii="仿宋_GB2312" w:hAnsi="仿宋_GB2312" w:eastAsia="仿宋_GB2312" w:cs="仿宋_GB2312"/>
          <w:i w:val="0"/>
          <w:iCs w:val="0"/>
          <w:caps w:val="0"/>
          <w:color w:val="000000"/>
          <w:spacing w:val="0"/>
          <w:sz w:val="28"/>
          <w:szCs w:val="27"/>
          <w:highlight w:val="none"/>
          <w:lang w:val="en-US" w:eastAsia="zh-CN"/>
        </w:rPr>
        <w:t>提供参考。</w:t>
      </w:r>
    </w:p>
    <w:p>
      <w:pPr>
        <w:pStyle w:val="5"/>
        <w:keepNext w:val="0"/>
        <w:keepLines w:val="0"/>
        <w:pageBreakBefore w:val="0"/>
        <w:wordWrap/>
        <w:topLinePunct w:val="0"/>
        <w:bidi w:val="0"/>
        <w:adjustRightInd/>
        <w:snapToGrid/>
        <w:rPr>
          <w:rFonts w:hint="default"/>
          <w:lang w:val="en-US" w:eastAsia="zh-CN"/>
        </w:rPr>
      </w:pPr>
      <w:bookmarkStart w:id="78" w:name="_Toc8394"/>
      <w:r>
        <w:rPr>
          <w:rFonts w:hint="eastAsia"/>
          <w:lang w:val="en-US" w:eastAsia="zh-CN"/>
        </w:rPr>
        <w:t>（二）评价对象和范围</w:t>
      </w:r>
      <w:bookmarkEnd w:id="78"/>
    </w:p>
    <w:p>
      <w:pPr>
        <w:keepNext w:val="0"/>
        <w:keepLines w:val="0"/>
        <w:pageBreakBefore w:val="0"/>
        <w:widowControl w:val="0"/>
        <w:kinsoku/>
        <w:wordWrap/>
        <w:overflowPunct/>
        <w:topLinePunct w:val="0"/>
        <w:autoSpaceDE/>
        <w:autoSpaceDN/>
        <w:bidi w:val="0"/>
        <w:adjustRightInd/>
        <w:snapToGrid/>
        <w:textAlignment w:val="auto"/>
      </w:pPr>
      <w:r>
        <w:rPr>
          <w:rFonts w:hint="eastAsia"/>
        </w:rPr>
        <w:t>本次绩效评价的对象是</w:t>
      </w:r>
      <w:r>
        <w:rPr>
          <w:rFonts w:hint="eastAsia"/>
          <w:lang w:eastAsia="zh-CN"/>
        </w:rPr>
        <w:t>宁武</w:t>
      </w:r>
      <w:r>
        <w:rPr>
          <w:rFonts w:hint="eastAsia"/>
        </w:rPr>
        <w:t>县</w:t>
      </w:r>
      <w:r>
        <w:rPr>
          <w:rFonts w:hint="eastAsia"/>
          <w:lang w:val="en-US" w:eastAsia="zh-CN"/>
        </w:rPr>
        <w:t>水利水保局</w:t>
      </w:r>
      <w:r>
        <w:rPr>
          <w:rFonts w:hint="eastAsia"/>
        </w:rPr>
        <w:t>20</w:t>
      </w:r>
      <w:r>
        <w:rPr>
          <w:rFonts w:hint="eastAsia"/>
          <w:lang w:val="en-US" w:eastAsia="zh-CN"/>
        </w:rPr>
        <w:t>20</w:t>
      </w:r>
      <w:r>
        <w:rPr>
          <w:rFonts w:hint="eastAsia"/>
        </w:rPr>
        <w:t>年统筹整合财政资金</w:t>
      </w:r>
      <w:r>
        <w:rPr>
          <w:rFonts w:hint="eastAsia" w:ascii="仿宋_GB2312" w:hAnsi="仿宋_GB2312" w:eastAsia="仿宋_GB2312" w:cs="仿宋_GB2312"/>
          <w:kern w:val="2"/>
          <w:sz w:val="28"/>
          <w:szCs w:val="24"/>
          <w:lang w:val="en-US" w:eastAsia="zh-CN" w:bidi="ar-SA"/>
        </w:rPr>
        <w:t>2</w:t>
      </w:r>
      <w:r>
        <w:rPr>
          <w:rFonts w:hint="eastAsia" w:ascii="仿宋_GB2312" w:hAnsi="仿宋_GB2312" w:cs="仿宋_GB2312"/>
          <w:kern w:val="2"/>
          <w:sz w:val="28"/>
          <w:szCs w:val="24"/>
          <w:lang w:val="en-US" w:eastAsia="zh-CN" w:bidi="ar-SA"/>
        </w:rPr>
        <w:t>,</w:t>
      </w:r>
      <w:r>
        <w:rPr>
          <w:rFonts w:hint="eastAsia" w:ascii="仿宋_GB2312" w:hAnsi="仿宋_GB2312" w:eastAsia="仿宋_GB2312" w:cs="仿宋_GB2312"/>
          <w:kern w:val="2"/>
          <w:sz w:val="28"/>
          <w:szCs w:val="24"/>
          <w:lang w:val="en-US" w:eastAsia="zh-CN" w:bidi="ar-SA"/>
        </w:rPr>
        <w:t>951.86</w:t>
      </w:r>
      <w:r>
        <w:rPr>
          <w:rFonts w:hint="eastAsia"/>
        </w:rPr>
        <w:t>万元，与此同时，对财政资金的监督、管理使用进行评价，根据评价结果，提出相关政策性意见。</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绩效评价范围为</w:t>
      </w:r>
      <w:r>
        <w:rPr>
          <w:rFonts w:hint="eastAsia"/>
          <w:lang w:eastAsia="zh-CN"/>
        </w:rPr>
        <w:t>宁武</w:t>
      </w:r>
      <w:r>
        <w:rPr>
          <w:rFonts w:hint="eastAsia"/>
        </w:rPr>
        <w:t>县</w:t>
      </w:r>
      <w:r>
        <w:rPr>
          <w:rFonts w:hint="eastAsia"/>
          <w:lang w:val="en-US" w:eastAsia="zh-CN"/>
        </w:rPr>
        <w:t>水利水保局2020</w:t>
      </w:r>
      <w:r>
        <w:rPr>
          <w:rFonts w:hint="eastAsia"/>
        </w:rPr>
        <w:t>年统筹整合财政资金产生的绩效以及为产生绩效所经历的各环节过程，具体绩效评价范围包括项目决策、过程、产出、效益。</w:t>
      </w:r>
    </w:p>
    <w:p>
      <w:pPr>
        <w:pStyle w:val="5"/>
        <w:keepNext w:val="0"/>
        <w:keepLines w:val="0"/>
        <w:pageBreakBefore w:val="0"/>
        <w:widowControl w:val="0"/>
        <w:kinsoku/>
        <w:wordWrap/>
        <w:overflowPunct/>
        <w:topLinePunct w:val="0"/>
        <w:autoSpaceDE/>
        <w:autoSpaceDN/>
        <w:bidi w:val="0"/>
        <w:adjustRightInd/>
        <w:snapToGrid/>
        <w:ind w:firstLine="560"/>
        <w:textAlignment w:val="auto"/>
        <w:rPr>
          <w:rFonts w:hint="default"/>
          <w:lang w:val="en-US" w:eastAsia="zh-CN"/>
        </w:rPr>
      </w:pPr>
      <w:bookmarkStart w:id="79" w:name="_Toc12501"/>
      <w:bookmarkStart w:id="80" w:name="_Toc32322"/>
      <w:bookmarkStart w:id="81" w:name="_Toc30077"/>
      <w:r>
        <w:rPr>
          <w:rFonts w:hint="eastAsia"/>
          <w:lang w:val="en-US" w:eastAsia="zh-CN"/>
        </w:rPr>
        <w:t>（三）评价基准日</w:t>
      </w:r>
      <w:bookmarkEnd w:id="79"/>
      <w:bookmarkEnd w:id="80"/>
      <w:bookmarkEnd w:id="81"/>
    </w:p>
    <w:p>
      <w:pPr>
        <w:keepNext w:val="0"/>
        <w:keepLines w:val="0"/>
        <w:pageBreakBefore w:val="0"/>
        <w:widowControl w:val="0"/>
        <w:kinsoku/>
        <w:wordWrap/>
        <w:overflowPunct/>
        <w:topLinePunct w:val="0"/>
        <w:autoSpaceDE/>
        <w:autoSpaceDN/>
        <w:bidi w:val="0"/>
        <w:adjustRightInd/>
        <w:snapToGrid/>
        <w:ind w:firstLine="560"/>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评价基准日：2020年12月31日。</w:t>
      </w:r>
    </w:p>
    <w:p>
      <w:pPr>
        <w:pStyle w:val="5"/>
        <w:keepNext w:val="0"/>
        <w:keepLines w:val="0"/>
        <w:pageBreakBefore w:val="0"/>
        <w:widowControl w:val="0"/>
        <w:kinsoku/>
        <w:wordWrap/>
        <w:overflowPunct/>
        <w:topLinePunct w:val="0"/>
        <w:autoSpaceDE/>
        <w:autoSpaceDN/>
        <w:bidi w:val="0"/>
        <w:adjustRightInd/>
        <w:snapToGrid/>
        <w:ind w:firstLine="560"/>
        <w:textAlignment w:val="auto"/>
      </w:pPr>
      <w:bookmarkStart w:id="82" w:name="_Toc3593"/>
      <w:bookmarkStart w:id="83" w:name="_Toc28002"/>
      <w:bookmarkStart w:id="84" w:name="_Toc24217"/>
      <w:bookmarkStart w:id="177" w:name="_GoBack"/>
      <w:bookmarkEnd w:id="177"/>
      <w:r>
        <w:rPr>
          <w:rFonts w:hint="eastAsia"/>
        </w:rPr>
        <w:t>（</w:t>
      </w:r>
      <w:r>
        <w:rPr>
          <w:rFonts w:hint="eastAsia"/>
          <w:lang w:val="en-US" w:eastAsia="zh-CN"/>
        </w:rPr>
        <w:t>四</w:t>
      </w:r>
      <w:r>
        <w:rPr>
          <w:rFonts w:hint="eastAsia"/>
        </w:rPr>
        <w:t>）绩效</w:t>
      </w:r>
      <w:r>
        <w:rPr>
          <w:rFonts w:hint="eastAsia"/>
          <w:lang w:val="en-US" w:eastAsia="zh-CN"/>
        </w:rPr>
        <w:t>评价</w:t>
      </w:r>
      <w:r>
        <w:rPr>
          <w:rFonts w:hint="eastAsia"/>
        </w:rPr>
        <w:t>指标体系</w:t>
      </w:r>
      <w:bookmarkEnd w:id="82"/>
      <w:bookmarkEnd w:id="83"/>
      <w:bookmarkEnd w:id="84"/>
    </w:p>
    <w:p>
      <w:pPr>
        <w:pStyle w:val="6"/>
        <w:keepNext w:val="0"/>
        <w:keepLines w:val="0"/>
        <w:pageBreakBefore w:val="0"/>
        <w:wordWrap/>
        <w:topLinePunct w:val="0"/>
        <w:bidi w:val="0"/>
        <w:adjustRightInd/>
        <w:snapToGrid/>
        <w:rPr>
          <w:rFonts w:hint="default"/>
          <w:lang w:val="en-US" w:eastAsia="zh-CN"/>
        </w:rPr>
      </w:pPr>
      <w:r>
        <w:rPr>
          <w:rFonts w:hint="eastAsia"/>
          <w:lang w:val="en-US" w:eastAsia="zh-CN"/>
        </w:rPr>
        <w:t>1.指标体系设计思路</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eastAsia" w:ascii="仿宋_GB2312" w:hAnsi="仿宋_GB2312" w:eastAsia="仿宋_GB2312" w:cs="仿宋_GB2312"/>
          <w:i w:val="0"/>
          <w:iCs w:val="0"/>
          <w:caps w:val="0"/>
          <w:color w:val="000000"/>
          <w:spacing w:val="0"/>
          <w:sz w:val="28"/>
          <w:szCs w:val="27"/>
          <w:highlight w:val="none"/>
          <w:lang w:val="en-US" w:eastAsia="zh-CN"/>
        </w:rPr>
      </w:pPr>
      <w:r>
        <w:rPr>
          <w:rFonts w:hint="eastAsia" w:ascii="仿宋_GB2312" w:hAnsi="仿宋_GB2312" w:eastAsia="仿宋_GB2312" w:cs="仿宋_GB2312"/>
          <w:i w:val="0"/>
          <w:iCs w:val="0"/>
          <w:caps w:val="0"/>
          <w:color w:val="000000"/>
          <w:spacing w:val="0"/>
          <w:sz w:val="28"/>
          <w:szCs w:val="27"/>
          <w:highlight w:val="none"/>
          <w:lang w:val="en-US" w:eastAsia="zh-CN"/>
        </w:rPr>
        <w:t>按照财政部《项目支出绩效评价管理办法》（财预〔2020〕10号）中的项目支出绩效评价指标体系框架（参考）、山西省《省级项目支出绩效评价管理办法》（晋财绩〔2020〕17号）中的项目支出绩效评价指标体系框架（参考），遵循“突出项目资金、兼顾政策内容”的评价思路，结合</w:t>
      </w:r>
      <w:r>
        <w:rPr>
          <w:rFonts w:hint="eastAsia" w:hAnsi="仿宋_GB2312" w:cs="仿宋_GB2312"/>
          <w:i w:val="0"/>
          <w:iCs w:val="0"/>
          <w:caps w:val="0"/>
          <w:color w:val="000000"/>
          <w:spacing w:val="0"/>
          <w:sz w:val="28"/>
          <w:szCs w:val="27"/>
          <w:highlight w:val="none"/>
          <w:lang w:val="en-US" w:eastAsia="zh-CN"/>
        </w:rPr>
        <w:t>宁武县水利水保局2020年统筹整合财政资金</w:t>
      </w:r>
      <w:r>
        <w:rPr>
          <w:rFonts w:hint="eastAsia" w:ascii="仿宋_GB2312" w:hAnsi="仿宋_GB2312" w:eastAsia="仿宋_GB2312" w:cs="仿宋_GB2312"/>
          <w:i w:val="0"/>
          <w:iCs w:val="0"/>
          <w:caps w:val="0"/>
          <w:color w:val="000000"/>
          <w:spacing w:val="0"/>
          <w:sz w:val="28"/>
          <w:szCs w:val="27"/>
          <w:highlight w:val="none"/>
          <w:lang w:val="en-US" w:eastAsia="zh-CN"/>
        </w:rPr>
        <w:t>的实际情况，本着全面反映</w:t>
      </w:r>
      <w:r>
        <w:rPr>
          <w:rFonts w:hint="eastAsia" w:hAnsi="仿宋_GB2312" w:cs="仿宋_GB2312"/>
          <w:i w:val="0"/>
          <w:iCs w:val="0"/>
          <w:caps w:val="0"/>
          <w:color w:val="000000"/>
          <w:spacing w:val="0"/>
          <w:sz w:val="28"/>
          <w:szCs w:val="27"/>
          <w:highlight w:val="none"/>
          <w:lang w:val="en-US" w:eastAsia="zh-CN"/>
        </w:rPr>
        <w:t>宁武县水利水保局2020年统筹整合财政资金</w:t>
      </w:r>
      <w:r>
        <w:rPr>
          <w:rFonts w:hint="eastAsia" w:ascii="仿宋_GB2312" w:hAnsi="仿宋_GB2312" w:eastAsia="仿宋_GB2312" w:cs="仿宋_GB2312"/>
          <w:i w:val="0"/>
          <w:iCs w:val="0"/>
          <w:caps w:val="0"/>
          <w:color w:val="000000"/>
          <w:spacing w:val="0"/>
          <w:sz w:val="28"/>
          <w:szCs w:val="27"/>
          <w:highlight w:val="none"/>
          <w:lang w:val="en-US" w:eastAsia="zh-CN"/>
        </w:rPr>
        <w:t>的预算绩效管理情况，本着尽可能细化、量化、可操作的原则，结合计划标准、历史标准等制定指标的目标值，兼顾相关政策内容，设计形成了</w:t>
      </w:r>
      <w:r>
        <w:rPr>
          <w:rFonts w:hint="eastAsia" w:hAnsi="仿宋_GB2312" w:cs="仿宋_GB2312"/>
          <w:i w:val="0"/>
          <w:iCs w:val="0"/>
          <w:caps w:val="0"/>
          <w:color w:val="000000"/>
          <w:spacing w:val="0"/>
          <w:sz w:val="28"/>
          <w:szCs w:val="27"/>
          <w:highlight w:val="none"/>
          <w:lang w:val="en-US" w:eastAsia="zh-CN"/>
        </w:rPr>
        <w:t>宁武县水利水保局2020年统筹整合财政资金</w:t>
      </w:r>
      <w:r>
        <w:rPr>
          <w:rFonts w:hint="eastAsia" w:ascii="仿宋_GB2312" w:hAnsi="仿宋_GB2312" w:eastAsia="仿宋_GB2312" w:cs="仿宋_GB2312"/>
          <w:i w:val="0"/>
          <w:iCs w:val="0"/>
          <w:caps w:val="0"/>
          <w:color w:val="000000"/>
          <w:spacing w:val="0"/>
          <w:sz w:val="28"/>
          <w:szCs w:val="27"/>
          <w:highlight w:val="none"/>
          <w:lang w:val="en-US" w:eastAsia="zh-CN"/>
        </w:rPr>
        <w:t>支出绩效评价指标体系，从决策类（包括项目立项、绩效目标、资金投入）、过程类（包括资金管理、组织实施）、产出类（包括产出数量、产出质量、产出时效、产出成本）、效益类（包括项目效益、满意度）四个维度进行评价。</w:t>
      </w:r>
    </w:p>
    <w:p>
      <w:pPr>
        <w:pStyle w:val="6"/>
        <w:keepNext w:val="0"/>
        <w:keepLines w:val="0"/>
        <w:pageBreakBefore w:val="0"/>
        <w:wordWrap/>
        <w:topLinePunct w:val="0"/>
        <w:bidi w:val="0"/>
        <w:adjustRightInd/>
        <w:snapToGrid/>
        <w:rPr>
          <w:rFonts w:hint="eastAsia"/>
          <w:lang w:val="zh-CN" w:eastAsia="zh-CN"/>
        </w:rPr>
      </w:pPr>
      <w:r>
        <w:rPr>
          <w:rFonts w:hint="eastAsia"/>
          <w:lang w:val="en-US" w:eastAsia="zh-CN"/>
        </w:rPr>
        <w:t>2</w:t>
      </w:r>
      <w:r>
        <w:rPr>
          <w:rFonts w:hint="eastAsia"/>
          <w:lang w:val="zh-CN" w:eastAsia="zh-CN"/>
        </w:rPr>
        <w:t>.权重设计思路</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eastAsia" w:ascii="仿宋_GB2312" w:hAnsi="仿宋_GB2312" w:eastAsia="仿宋_GB2312" w:cs="仿宋_GB2312"/>
          <w:i w:val="0"/>
          <w:iCs w:val="0"/>
          <w:caps w:val="0"/>
          <w:color w:val="000000"/>
          <w:spacing w:val="0"/>
          <w:sz w:val="28"/>
          <w:szCs w:val="27"/>
          <w:highlight w:val="none"/>
          <w:lang w:val="en-US" w:eastAsia="zh-CN"/>
        </w:rPr>
      </w:pPr>
      <w:r>
        <w:rPr>
          <w:rFonts w:hint="eastAsia" w:ascii="仿宋_GB2312" w:hAnsi="仿宋_GB2312" w:eastAsia="仿宋_GB2312" w:cs="仿宋_GB2312"/>
          <w:color w:val="auto"/>
          <w:kern w:val="0"/>
          <w:sz w:val="28"/>
          <w:szCs w:val="28"/>
          <w:lang w:val="zh-CN" w:eastAsia="zh-CN" w:bidi="zh-CN"/>
        </w:rPr>
        <w:t>本次</w:t>
      </w:r>
      <w:r>
        <w:rPr>
          <w:rFonts w:hint="eastAsia" w:ascii="仿宋_GB2312" w:hAnsi="仿宋_GB2312" w:eastAsia="仿宋_GB2312" w:cs="仿宋_GB2312"/>
          <w:color w:val="auto"/>
          <w:kern w:val="0"/>
          <w:sz w:val="28"/>
          <w:szCs w:val="28"/>
          <w:lang w:val="en-US" w:eastAsia="zh-CN" w:bidi="zh-CN"/>
        </w:rPr>
        <w:t>绩效评价一级指标</w:t>
      </w:r>
      <w:r>
        <w:rPr>
          <w:rFonts w:hint="eastAsia" w:ascii="仿宋_GB2312" w:hAnsi="仿宋_GB2312" w:eastAsia="仿宋_GB2312" w:cs="仿宋_GB2312"/>
          <w:color w:val="auto"/>
          <w:kern w:val="0"/>
          <w:sz w:val="28"/>
          <w:szCs w:val="28"/>
          <w:lang w:val="zh-CN" w:eastAsia="zh-CN" w:bidi="zh-CN"/>
        </w:rPr>
        <w:t>权重设计</w:t>
      </w:r>
      <w:r>
        <w:rPr>
          <w:rFonts w:hint="eastAsia" w:ascii="仿宋_GB2312" w:hAnsi="仿宋_GB2312" w:eastAsia="仿宋_GB2312" w:cs="仿宋_GB2312"/>
          <w:color w:val="auto"/>
          <w:kern w:val="0"/>
          <w:sz w:val="28"/>
          <w:szCs w:val="28"/>
          <w:lang w:val="en-US" w:eastAsia="zh-CN" w:bidi="zh-CN"/>
        </w:rPr>
        <w:t>按照财政部</w:t>
      </w:r>
      <w:r>
        <w:rPr>
          <w:rFonts w:hint="eastAsia" w:ascii="仿宋_GB2312" w:hAnsi="仿宋_GB2312" w:eastAsia="仿宋_GB2312" w:cs="仿宋_GB2312"/>
          <w:i w:val="0"/>
          <w:iCs w:val="0"/>
          <w:caps w:val="0"/>
          <w:color w:val="000000"/>
          <w:spacing w:val="0"/>
          <w:sz w:val="28"/>
          <w:szCs w:val="28"/>
          <w:highlight w:val="none"/>
          <w:lang w:val="en-US" w:eastAsia="zh-CN"/>
        </w:rPr>
        <w:t>《项目支出绩效评价管理办法》（财预〔2020〕10号）和山西省财政厅《省级项目支出绩效评价管理办法》（晋财绩〔2020〕17号）</w:t>
      </w:r>
      <w:r>
        <w:rPr>
          <w:rFonts w:hint="eastAsia" w:ascii="仿宋_GB2312" w:hAnsi="仿宋_GB2312" w:eastAsia="仿宋_GB2312" w:cs="仿宋_GB2312"/>
          <w:color w:val="auto"/>
          <w:kern w:val="0"/>
          <w:sz w:val="28"/>
          <w:szCs w:val="28"/>
          <w:lang w:val="en-US" w:eastAsia="zh-CN" w:bidi="zh-CN"/>
        </w:rPr>
        <w:t>文件要求执行</w:t>
      </w:r>
      <w:r>
        <w:rPr>
          <w:rFonts w:hint="eastAsia" w:ascii="仿宋_GB2312" w:hAnsi="仿宋_GB2312" w:eastAsia="仿宋_GB2312" w:cs="仿宋_GB2312"/>
          <w:color w:val="auto"/>
          <w:kern w:val="0"/>
          <w:sz w:val="28"/>
          <w:szCs w:val="28"/>
          <w:lang w:val="zh-CN" w:eastAsia="zh-CN" w:bidi="zh-CN"/>
        </w:rPr>
        <w:t>，最终确定</w:t>
      </w:r>
      <w:r>
        <w:rPr>
          <w:rFonts w:hint="eastAsia" w:ascii="仿宋_GB2312" w:hAnsi="仿宋_GB2312" w:eastAsia="仿宋_GB2312" w:cs="仿宋_GB2312"/>
          <w:color w:val="auto"/>
          <w:kern w:val="0"/>
          <w:sz w:val="28"/>
          <w:szCs w:val="28"/>
          <w:lang w:val="en-US" w:eastAsia="zh-CN" w:bidi="zh-CN"/>
        </w:rPr>
        <w:t>决策</w:t>
      </w:r>
      <w:r>
        <w:rPr>
          <w:rFonts w:hint="eastAsia" w:ascii="仿宋_GB2312" w:hAnsi="仿宋_GB2312" w:eastAsia="仿宋_GB2312" w:cs="仿宋_GB2312"/>
          <w:color w:val="auto"/>
          <w:kern w:val="0"/>
          <w:sz w:val="28"/>
          <w:szCs w:val="28"/>
          <w:lang w:val="zh-CN" w:eastAsia="zh-CN" w:bidi="zh-CN"/>
        </w:rPr>
        <w:t>类指标权重占比</w:t>
      </w:r>
      <w:r>
        <w:rPr>
          <w:rFonts w:hint="eastAsia" w:ascii="仿宋_GB2312" w:hAnsi="仿宋_GB2312" w:eastAsia="仿宋_GB2312" w:cs="仿宋_GB2312"/>
          <w:color w:val="auto"/>
          <w:kern w:val="0"/>
          <w:sz w:val="28"/>
          <w:szCs w:val="28"/>
          <w:lang w:val="en-US" w:eastAsia="zh-CN" w:bidi="zh-CN"/>
        </w:rPr>
        <w:t>2</w:t>
      </w:r>
      <w:r>
        <w:rPr>
          <w:rFonts w:hint="eastAsia" w:ascii="仿宋_GB2312" w:hAnsi="仿宋_GB2312" w:eastAsia="仿宋_GB2312" w:cs="仿宋_GB2312"/>
          <w:color w:val="auto"/>
          <w:kern w:val="0"/>
          <w:sz w:val="28"/>
          <w:szCs w:val="28"/>
          <w:lang w:val="zh-CN" w:eastAsia="zh-CN" w:bidi="zh-CN"/>
        </w:rPr>
        <w:t>0%，过程类指标权重占比</w:t>
      </w:r>
      <w:r>
        <w:rPr>
          <w:rFonts w:hint="eastAsia" w:ascii="仿宋_GB2312" w:hAnsi="仿宋_GB2312" w:eastAsia="仿宋_GB2312" w:cs="仿宋_GB2312"/>
          <w:color w:val="auto"/>
          <w:kern w:val="0"/>
          <w:sz w:val="28"/>
          <w:szCs w:val="28"/>
          <w:lang w:val="en-US" w:eastAsia="zh-CN" w:bidi="zh-CN"/>
        </w:rPr>
        <w:t>2</w:t>
      </w:r>
      <w:r>
        <w:rPr>
          <w:rFonts w:hint="eastAsia" w:ascii="仿宋_GB2312" w:hAnsi="仿宋_GB2312" w:eastAsia="仿宋_GB2312" w:cs="仿宋_GB2312"/>
          <w:color w:val="auto"/>
          <w:kern w:val="0"/>
          <w:sz w:val="28"/>
          <w:szCs w:val="28"/>
          <w:lang w:val="zh-CN" w:eastAsia="zh-CN" w:bidi="zh-CN"/>
        </w:rPr>
        <w:t>0%，产出类指标权重占比</w:t>
      </w:r>
      <w:r>
        <w:rPr>
          <w:rFonts w:hint="eastAsia" w:ascii="仿宋_GB2312" w:hAnsi="仿宋_GB2312" w:eastAsia="仿宋_GB2312" w:cs="仿宋_GB2312"/>
          <w:color w:val="auto"/>
          <w:kern w:val="0"/>
          <w:sz w:val="28"/>
          <w:szCs w:val="28"/>
          <w:lang w:val="en-US" w:eastAsia="zh-CN" w:bidi="zh-CN"/>
        </w:rPr>
        <w:t>3</w:t>
      </w:r>
      <w:r>
        <w:rPr>
          <w:rFonts w:hint="eastAsia" w:ascii="仿宋_GB2312" w:hAnsi="仿宋_GB2312" w:eastAsia="仿宋_GB2312" w:cs="仿宋_GB2312"/>
          <w:color w:val="auto"/>
          <w:kern w:val="0"/>
          <w:sz w:val="28"/>
          <w:szCs w:val="28"/>
          <w:lang w:val="zh-CN" w:eastAsia="zh-CN" w:bidi="zh-CN"/>
        </w:rPr>
        <w:t>0%，效益类指标权重占比</w:t>
      </w:r>
      <w:r>
        <w:rPr>
          <w:rFonts w:hint="eastAsia" w:ascii="仿宋_GB2312" w:hAnsi="仿宋_GB2312" w:eastAsia="仿宋_GB2312" w:cs="仿宋_GB2312"/>
          <w:color w:val="auto"/>
          <w:kern w:val="0"/>
          <w:sz w:val="28"/>
          <w:szCs w:val="28"/>
          <w:lang w:val="en-US" w:eastAsia="zh-CN" w:bidi="zh-CN"/>
        </w:rPr>
        <w:t>3</w:t>
      </w:r>
      <w:r>
        <w:rPr>
          <w:rFonts w:hint="eastAsia" w:ascii="仿宋_GB2312" w:hAnsi="仿宋_GB2312" w:eastAsia="仿宋_GB2312" w:cs="仿宋_GB2312"/>
          <w:color w:val="auto"/>
          <w:kern w:val="0"/>
          <w:sz w:val="28"/>
          <w:szCs w:val="28"/>
          <w:lang w:val="zh-CN" w:eastAsia="zh-CN" w:bidi="zh-CN"/>
        </w:rPr>
        <w:t>0%。二、三级指标</w:t>
      </w:r>
      <w:r>
        <w:rPr>
          <w:rFonts w:hint="eastAsia" w:ascii="仿宋_GB2312" w:hAnsi="仿宋_GB2312" w:eastAsia="仿宋_GB2312" w:cs="仿宋_GB2312"/>
          <w:color w:val="auto"/>
          <w:kern w:val="0"/>
          <w:sz w:val="28"/>
          <w:szCs w:val="28"/>
          <w:lang w:val="en-US" w:eastAsia="zh-CN" w:bidi="zh-CN"/>
        </w:rPr>
        <w:t>权重分值</w:t>
      </w:r>
      <w:r>
        <w:rPr>
          <w:rFonts w:hint="eastAsia" w:ascii="仿宋_GB2312" w:hAnsi="仿宋_GB2312" w:eastAsia="仿宋_GB2312" w:cs="仿宋_GB2312"/>
          <w:color w:val="auto"/>
          <w:kern w:val="0"/>
          <w:sz w:val="28"/>
          <w:szCs w:val="28"/>
          <w:lang w:val="zh-CN" w:eastAsia="zh-CN" w:bidi="zh-CN"/>
        </w:rPr>
        <w:t>采用经验分配法，根据以往财政资金绩效评价指标体系权重的工作经验，对评价指标所代表的价值进行判断</w:t>
      </w:r>
      <w:r>
        <w:rPr>
          <w:rFonts w:hint="eastAsia" w:hAnsi="仿宋_GB2312" w:cs="仿宋_GB2312"/>
          <w:color w:val="auto"/>
          <w:kern w:val="0"/>
          <w:sz w:val="28"/>
          <w:szCs w:val="28"/>
          <w:lang w:val="zh-CN" w:eastAsia="zh-CN" w:bidi="zh-CN"/>
        </w:rPr>
        <w:t>。</w:t>
      </w:r>
      <w:r>
        <w:rPr>
          <w:rFonts w:hint="eastAsia" w:ascii="仿宋_GB2312" w:hAnsi="仿宋_GB2312" w:eastAsia="仿宋_GB2312" w:cs="仿宋_GB2312"/>
          <w:color w:val="auto"/>
          <w:kern w:val="0"/>
          <w:sz w:val="28"/>
          <w:szCs w:val="28"/>
          <w:lang w:val="zh-CN" w:eastAsia="zh-CN" w:bidi="zh-CN"/>
        </w:rPr>
        <w:t>同时，根据二、三级指标与绩效目标的匹配性、在指标中的重要性、以及对一级指标的影响程度来合理确定评价指标的权重比例结构。</w:t>
      </w:r>
    </w:p>
    <w:p>
      <w:pPr>
        <w:pStyle w:val="6"/>
        <w:keepNext w:val="0"/>
        <w:keepLines w:val="0"/>
        <w:pageBreakBefore w:val="0"/>
        <w:wordWrap/>
        <w:topLinePunct w:val="0"/>
        <w:bidi w:val="0"/>
        <w:adjustRightInd/>
        <w:snapToGrid/>
        <w:rPr>
          <w:rFonts w:hint="eastAsia"/>
          <w:lang w:val="en-US" w:eastAsia="zh-CN"/>
        </w:rPr>
      </w:pPr>
      <w:r>
        <w:rPr>
          <w:rFonts w:hint="eastAsia"/>
          <w:lang w:val="en-US" w:eastAsia="zh-CN"/>
        </w:rPr>
        <w:t>3.指标体系具体内容</w:t>
      </w:r>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firstLine="560" w:firstLineChars="200"/>
        <w:jc w:val="both"/>
        <w:textAlignment w:val="auto"/>
        <w:outlineLvl w:val="9"/>
        <w:rPr>
          <w:rFonts w:hint="eastAsia"/>
          <w:sz w:val="28"/>
          <w:szCs w:val="28"/>
          <w:lang w:val="en-US" w:eastAsia="zh-CN"/>
        </w:rPr>
      </w:pPr>
      <w:r>
        <w:rPr>
          <w:rFonts w:hint="eastAsia"/>
          <w:sz w:val="28"/>
          <w:szCs w:val="28"/>
          <w:lang w:val="en-US" w:eastAsia="zh-CN"/>
        </w:rPr>
        <w:t>指标体系由4项一级指标、13项二级指标构成。数据主要来源于政策文件、制度文件、档案资料、基础表、访谈等。决策类指标占权重分20分，从项目立项、绩效目标、资金投入三个角度考核项目立项依据充分性和立项程序规范性、绩效目标合理性、绩效指标明确性以及预算编制科学性、资金分配合理性的情况。过程类指标占权重分20分，从资金管理和组织实施两个角度考核项目资金到位率、预算执行率、资金使用合规性、管理制度健全性和制度执行有效性的情况。产出类指标占权重分30分，从产出数量、产出质量、产出时效、产出成本四个角度考核项目完成情况、项目质量达标情况、项目完成时效。效益类指标占权重分30分，从项目的经济与社会效益、生态效益、可持续性影响和满意度进行考核。</w:t>
      </w:r>
    </w:p>
    <w:p>
      <w:pPr>
        <w:pStyle w:val="5"/>
        <w:keepNext w:val="0"/>
        <w:keepLines w:val="0"/>
        <w:pageBreakBefore w:val="0"/>
        <w:widowControl w:val="0"/>
        <w:kinsoku/>
        <w:wordWrap/>
        <w:overflowPunct/>
        <w:topLinePunct w:val="0"/>
        <w:autoSpaceDE/>
        <w:autoSpaceDN/>
        <w:bidi w:val="0"/>
        <w:adjustRightInd w:val="0"/>
        <w:snapToGrid w:val="0"/>
        <w:textAlignment w:val="auto"/>
        <w:rPr>
          <w:rFonts w:hint="eastAsia"/>
          <w:lang w:val="en-US" w:eastAsia="zh-CN"/>
        </w:rPr>
      </w:pPr>
      <w:bookmarkStart w:id="85" w:name="_Toc18280"/>
      <w:bookmarkStart w:id="86" w:name="_Toc28285"/>
      <w:bookmarkStart w:id="87" w:name="_Toc29596"/>
      <w:r>
        <w:rPr>
          <w:rFonts w:hint="eastAsia"/>
          <w:lang w:val="en-US" w:eastAsia="zh-CN"/>
        </w:rPr>
        <w:t>（五）绩效评价工作过程</w:t>
      </w:r>
      <w:bookmarkEnd w:id="85"/>
      <w:bookmarkEnd w:id="86"/>
      <w:bookmarkEnd w:id="87"/>
    </w:p>
    <w:p>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Autospacing="0"/>
        <w:ind w:left="0" w:firstLine="560" w:firstLineChars="200"/>
        <w:jc w:val="both"/>
        <w:textAlignment w:val="auto"/>
        <w:outlineLvl w:val="9"/>
        <w:rPr>
          <w:rFonts w:hint="default" w:ascii="仿宋_GB2312" w:hAnsi="仿宋_GB2312" w:eastAsia="仿宋_GB2312" w:cs="仿宋_GB2312"/>
          <w:i w:val="0"/>
          <w:iCs w:val="0"/>
          <w:caps w:val="0"/>
          <w:color w:val="000000"/>
          <w:spacing w:val="0"/>
          <w:sz w:val="28"/>
          <w:szCs w:val="27"/>
          <w:highlight w:val="none"/>
          <w:lang w:val="en-US" w:eastAsia="zh-CN"/>
        </w:rPr>
      </w:pPr>
      <w:r>
        <w:rPr>
          <w:rFonts w:hint="eastAsia" w:ascii="仿宋_GB2312" w:hAnsi="仿宋_GB2312" w:eastAsia="仿宋_GB2312" w:cs="仿宋_GB2312"/>
          <w:i w:val="0"/>
          <w:iCs w:val="0"/>
          <w:caps w:val="0"/>
          <w:color w:val="000000"/>
          <w:spacing w:val="0"/>
          <w:sz w:val="28"/>
          <w:szCs w:val="27"/>
          <w:highlight w:val="none"/>
          <w:lang w:val="en-US" w:eastAsia="zh-CN"/>
        </w:rPr>
        <w:t>接</w:t>
      </w:r>
      <w:r>
        <w:rPr>
          <w:rFonts w:hint="eastAsia" w:hAnsi="仿宋_GB2312" w:cs="仿宋_GB2312"/>
          <w:i w:val="0"/>
          <w:iCs w:val="0"/>
          <w:caps w:val="0"/>
          <w:color w:val="000000"/>
          <w:spacing w:val="0"/>
          <w:sz w:val="28"/>
          <w:szCs w:val="27"/>
          <w:highlight w:val="none"/>
          <w:lang w:val="en-US" w:eastAsia="zh-CN"/>
        </w:rPr>
        <w:t>受</w:t>
      </w:r>
      <w:r>
        <w:rPr>
          <w:rFonts w:hint="eastAsia" w:hAnsi="仿宋_GB2312" w:cs="仿宋_GB2312"/>
          <w:i w:val="0"/>
          <w:iCs w:val="0"/>
          <w:caps w:val="0"/>
          <w:color w:val="000000"/>
          <w:spacing w:val="0"/>
          <w:sz w:val="28"/>
          <w:szCs w:val="27"/>
          <w:highlight w:val="none"/>
          <w:u w:val="none"/>
          <w:lang w:val="en-US" w:eastAsia="zh-CN"/>
        </w:rPr>
        <w:t>宁武县财政局</w:t>
      </w:r>
      <w:r>
        <w:rPr>
          <w:rFonts w:hint="default" w:ascii="仿宋_GB2312" w:hAnsi="仿宋_GB2312" w:eastAsia="仿宋_GB2312" w:cs="仿宋_GB2312"/>
          <w:i w:val="0"/>
          <w:iCs w:val="0"/>
          <w:caps w:val="0"/>
          <w:color w:val="000000"/>
          <w:spacing w:val="0"/>
          <w:sz w:val="28"/>
          <w:szCs w:val="27"/>
          <w:highlight w:val="none"/>
          <w:lang w:val="en-US" w:eastAsia="zh-CN"/>
        </w:rPr>
        <w:t>的委托</w:t>
      </w:r>
      <w:r>
        <w:rPr>
          <w:rFonts w:hint="eastAsia" w:ascii="仿宋_GB2312" w:hAnsi="仿宋_GB2312" w:eastAsia="仿宋_GB2312" w:cs="仿宋_GB2312"/>
          <w:i w:val="0"/>
          <w:iCs w:val="0"/>
          <w:caps w:val="0"/>
          <w:color w:val="000000"/>
          <w:spacing w:val="0"/>
          <w:sz w:val="28"/>
          <w:szCs w:val="27"/>
          <w:highlight w:val="none"/>
          <w:lang w:val="en-US" w:eastAsia="zh-CN"/>
        </w:rPr>
        <w:t>后</w:t>
      </w:r>
      <w:r>
        <w:rPr>
          <w:rFonts w:hint="default" w:ascii="仿宋_GB2312" w:hAnsi="仿宋_GB2312" w:eastAsia="仿宋_GB2312" w:cs="仿宋_GB2312"/>
          <w:i w:val="0"/>
          <w:iCs w:val="0"/>
          <w:caps w:val="0"/>
          <w:color w:val="000000"/>
          <w:spacing w:val="0"/>
          <w:sz w:val="28"/>
          <w:szCs w:val="27"/>
          <w:highlight w:val="none"/>
          <w:lang w:val="en-US" w:eastAsia="zh-CN"/>
        </w:rPr>
        <w:t>，我公司高度重视，积极筹备，成立项目领导组负责评价过程的协调和督导。</w:t>
      </w:r>
      <w:r>
        <w:rPr>
          <w:rFonts w:hint="eastAsia" w:ascii="仿宋_GB2312" w:hAnsi="仿宋_GB2312" w:eastAsia="仿宋_GB2312" w:cs="仿宋_GB2312"/>
          <w:i w:val="0"/>
          <w:iCs w:val="0"/>
          <w:caps w:val="0"/>
          <w:color w:val="000000"/>
          <w:spacing w:val="0"/>
          <w:sz w:val="28"/>
          <w:szCs w:val="27"/>
          <w:highlight w:val="none"/>
          <w:lang w:val="en-US" w:eastAsia="zh-CN"/>
        </w:rPr>
        <w:t>具体</w:t>
      </w:r>
      <w:r>
        <w:rPr>
          <w:rFonts w:hint="default" w:ascii="仿宋_GB2312" w:hAnsi="仿宋_GB2312" w:eastAsia="仿宋_GB2312" w:cs="仿宋_GB2312"/>
          <w:i w:val="0"/>
          <w:iCs w:val="0"/>
          <w:caps w:val="0"/>
          <w:color w:val="000000"/>
          <w:spacing w:val="0"/>
          <w:sz w:val="28"/>
          <w:szCs w:val="27"/>
          <w:highlight w:val="none"/>
          <w:lang w:val="en-US" w:eastAsia="zh-CN"/>
        </w:rPr>
        <w:t>工作分为</w:t>
      </w:r>
      <w:r>
        <w:rPr>
          <w:rFonts w:hint="eastAsia" w:ascii="仿宋_GB2312" w:hAnsi="仿宋_GB2312" w:eastAsia="仿宋_GB2312" w:cs="仿宋_GB2312"/>
          <w:i w:val="0"/>
          <w:iCs w:val="0"/>
          <w:caps w:val="0"/>
          <w:color w:val="000000"/>
          <w:spacing w:val="0"/>
          <w:sz w:val="28"/>
          <w:szCs w:val="27"/>
          <w:highlight w:val="none"/>
          <w:lang w:val="en-US" w:eastAsia="zh-CN"/>
        </w:rPr>
        <w:t>前期</w:t>
      </w:r>
      <w:r>
        <w:rPr>
          <w:rFonts w:hint="default" w:ascii="仿宋_GB2312" w:hAnsi="仿宋_GB2312" w:eastAsia="仿宋_GB2312" w:cs="仿宋_GB2312"/>
          <w:i w:val="0"/>
          <w:iCs w:val="0"/>
          <w:caps w:val="0"/>
          <w:color w:val="000000"/>
          <w:spacing w:val="0"/>
          <w:sz w:val="28"/>
          <w:szCs w:val="27"/>
          <w:highlight w:val="none"/>
          <w:lang w:val="en-US" w:eastAsia="zh-CN"/>
        </w:rPr>
        <w:t>准备、</w:t>
      </w:r>
      <w:r>
        <w:rPr>
          <w:rFonts w:hint="eastAsia" w:ascii="仿宋_GB2312" w:hAnsi="仿宋_GB2312" w:eastAsia="仿宋_GB2312" w:cs="仿宋_GB2312"/>
          <w:i w:val="0"/>
          <w:iCs w:val="0"/>
          <w:caps w:val="0"/>
          <w:color w:val="000000"/>
          <w:spacing w:val="0"/>
          <w:sz w:val="28"/>
          <w:szCs w:val="27"/>
          <w:highlight w:val="none"/>
          <w:lang w:val="en-US" w:eastAsia="zh-CN"/>
        </w:rPr>
        <w:t>现场</w:t>
      </w:r>
      <w:r>
        <w:rPr>
          <w:rFonts w:hint="default" w:ascii="仿宋_GB2312" w:hAnsi="仿宋_GB2312" w:eastAsia="仿宋_GB2312" w:cs="仿宋_GB2312"/>
          <w:i w:val="0"/>
          <w:iCs w:val="0"/>
          <w:caps w:val="0"/>
          <w:color w:val="000000"/>
          <w:spacing w:val="0"/>
          <w:sz w:val="28"/>
          <w:szCs w:val="27"/>
          <w:highlight w:val="none"/>
          <w:lang w:val="en-US" w:eastAsia="zh-CN"/>
        </w:rPr>
        <w:t>实施、报告撰写三个阶段。</w:t>
      </w:r>
    </w:p>
    <w:p>
      <w:pPr>
        <w:pStyle w:val="6"/>
        <w:keepNext w:val="0"/>
        <w:keepLines w:val="0"/>
        <w:pageBreakBefore w:val="0"/>
        <w:wordWrap/>
        <w:topLinePunct w:val="0"/>
        <w:bidi w:val="0"/>
        <w:adjustRightInd/>
        <w:snapToGrid/>
        <w:rPr>
          <w:rFonts w:hint="default"/>
          <w:lang w:val="en-US" w:eastAsia="zh-CN"/>
        </w:rPr>
      </w:pPr>
      <w:r>
        <w:rPr>
          <w:rFonts w:hint="default"/>
          <w:lang w:val="en-US" w:eastAsia="zh-CN"/>
        </w:rPr>
        <w:t>1.评价准备阶段</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default" w:ascii="仿宋_GB2312" w:hAnsi="仿宋_GB2312" w:eastAsia="仿宋_GB2312" w:cs="仿宋_GB2312"/>
          <w:i w:val="0"/>
          <w:iCs w:val="0"/>
          <w:caps w:val="0"/>
          <w:color w:val="000000"/>
          <w:spacing w:val="0"/>
          <w:sz w:val="28"/>
          <w:szCs w:val="27"/>
          <w:highlight w:val="none"/>
          <w:lang w:val="en-US" w:eastAsia="zh-CN"/>
        </w:rPr>
      </w:pPr>
      <w:r>
        <w:rPr>
          <w:rFonts w:hint="default" w:ascii="仿宋_GB2312" w:hAnsi="仿宋_GB2312" w:eastAsia="仿宋_GB2312" w:cs="仿宋_GB2312"/>
          <w:i w:val="0"/>
          <w:iCs w:val="0"/>
          <w:caps w:val="0"/>
          <w:color w:val="000000"/>
          <w:spacing w:val="0"/>
          <w:sz w:val="28"/>
          <w:szCs w:val="27"/>
          <w:highlight w:val="none"/>
          <w:lang w:val="en-US" w:eastAsia="zh-CN"/>
        </w:rPr>
        <w:t>根据山西省《省级项目支出绩效评价管理办法》（晋财绩〔2020〕17号）文件精神和</w:t>
      </w:r>
      <w:r>
        <w:rPr>
          <w:rFonts w:hint="eastAsia" w:hAnsi="仿宋_GB2312" w:cs="仿宋_GB2312"/>
          <w:i w:val="0"/>
          <w:iCs w:val="0"/>
          <w:caps w:val="0"/>
          <w:color w:val="000000"/>
          <w:spacing w:val="0"/>
          <w:sz w:val="28"/>
          <w:szCs w:val="27"/>
          <w:highlight w:val="none"/>
          <w:lang w:val="en-US" w:eastAsia="zh-CN"/>
        </w:rPr>
        <w:t>宁武县财政局</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eastAsia" w:hAnsi="仿宋_GB2312" w:eastAsia="仿宋_GB2312" w:cs="仿宋_GB2312"/>
          <w:i w:val="0"/>
          <w:iCs w:val="0"/>
          <w:caps w:val="0"/>
          <w:color w:val="000000"/>
          <w:spacing w:val="0"/>
          <w:sz w:val="28"/>
          <w:szCs w:val="27"/>
          <w:highlight w:val="none"/>
          <w:u w:val="none"/>
          <w:lang w:val="en-US" w:eastAsia="zh-CN"/>
        </w:rPr>
        <w:t>关于开展2020年度项目支出绩效评价工作的通知</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eastAsia" w:hAnsi="仿宋_GB2312" w:eastAsia="仿宋_GB2312" w:cs="仿宋_GB2312"/>
          <w:i w:val="0"/>
          <w:iCs w:val="0"/>
          <w:caps w:val="0"/>
          <w:color w:val="000000"/>
          <w:spacing w:val="0"/>
          <w:sz w:val="28"/>
          <w:szCs w:val="27"/>
          <w:highlight w:val="none"/>
          <w:u w:val="none"/>
          <w:lang w:val="en-US" w:eastAsia="zh-CN"/>
        </w:rPr>
        <w:t>宁财字</w:t>
      </w:r>
      <w:r>
        <w:rPr>
          <w:rFonts w:hint="eastAsia" w:ascii="仿宋_GB2312" w:eastAsia="仿宋_GB2312" w:hAnsiTheme="minorHAnsi" w:cstheme="minorBidi"/>
          <w:kern w:val="2"/>
          <w:sz w:val="28"/>
          <w:szCs w:val="24"/>
          <w:u w:val="none"/>
          <w:lang w:val="en-US" w:eastAsia="zh-CN" w:bidi="ar-SA"/>
        </w:rPr>
        <w:t>〔20</w:t>
      </w:r>
      <w:r>
        <w:rPr>
          <w:rFonts w:hint="eastAsia" w:eastAsia="仿宋_GB2312" w:cstheme="minorBidi"/>
          <w:kern w:val="2"/>
          <w:sz w:val="28"/>
          <w:szCs w:val="24"/>
          <w:u w:val="none"/>
          <w:lang w:val="en-US" w:eastAsia="zh-CN" w:bidi="ar-SA"/>
        </w:rPr>
        <w:t>21</w:t>
      </w:r>
      <w:r>
        <w:rPr>
          <w:rFonts w:hint="eastAsia" w:ascii="仿宋_GB2312" w:eastAsia="仿宋_GB2312" w:hAnsiTheme="minorHAnsi" w:cstheme="minorBidi"/>
          <w:kern w:val="2"/>
          <w:sz w:val="28"/>
          <w:szCs w:val="24"/>
          <w:u w:val="none"/>
          <w:lang w:val="en-US" w:eastAsia="zh-CN" w:bidi="ar-SA"/>
        </w:rPr>
        <w:t>〕</w:t>
      </w:r>
      <w:r>
        <w:rPr>
          <w:rFonts w:hint="eastAsia" w:cstheme="minorBidi"/>
          <w:kern w:val="2"/>
          <w:sz w:val="28"/>
          <w:szCs w:val="24"/>
          <w:u w:val="none"/>
          <w:lang w:val="en-US" w:eastAsia="zh-CN" w:bidi="ar-SA"/>
        </w:rPr>
        <w:t>13</w:t>
      </w:r>
      <w:r>
        <w:rPr>
          <w:rFonts w:hint="eastAsia" w:ascii="仿宋_GB2312" w:eastAsia="仿宋_GB2312" w:hAnsiTheme="minorHAnsi" w:cstheme="minorBidi"/>
          <w:kern w:val="2"/>
          <w:sz w:val="28"/>
          <w:szCs w:val="24"/>
          <w:u w:val="none"/>
          <w:lang w:val="en-US" w:eastAsia="zh-CN" w:bidi="ar-SA"/>
        </w:rPr>
        <w:t>号</w:t>
      </w:r>
      <w:r>
        <w:rPr>
          <w:rFonts w:hint="eastAsia" w:ascii="仿宋_GB2312" w:hAnsi="仿宋_GB2312" w:eastAsia="仿宋_GB2312" w:cs="仿宋_GB2312"/>
          <w:i w:val="0"/>
          <w:iCs w:val="0"/>
          <w:caps w:val="0"/>
          <w:color w:val="000000"/>
          <w:spacing w:val="0"/>
          <w:sz w:val="28"/>
          <w:szCs w:val="27"/>
          <w:highlight w:val="none"/>
          <w:u w:val="none"/>
          <w:lang w:val="en-US" w:eastAsia="zh-CN"/>
        </w:rPr>
        <w:t>）</w:t>
      </w:r>
      <w:r>
        <w:rPr>
          <w:rFonts w:hint="default" w:ascii="仿宋_GB2312" w:hAnsi="仿宋_GB2312" w:eastAsia="仿宋_GB2312" w:cs="仿宋_GB2312"/>
          <w:i w:val="0"/>
          <w:iCs w:val="0"/>
          <w:caps w:val="0"/>
          <w:color w:val="000000"/>
          <w:spacing w:val="0"/>
          <w:sz w:val="28"/>
          <w:szCs w:val="27"/>
          <w:highlight w:val="none"/>
          <w:lang w:val="en-US" w:eastAsia="zh-CN"/>
        </w:rPr>
        <w:t>总体要求，明确评价目的和工作思路，联系</w:t>
      </w:r>
      <w:r>
        <w:rPr>
          <w:rFonts w:hint="eastAsia" w:hAnsi="仿宋_GB2312" w:cs="仿宋_GB2312"/>
          <w:i w:val="0"/>
          <w:iCs w:val="0"/>
          <w:caps w:val="0"/>
          <w:color w:val="000000"/>
          <w:spacing w:val="0"/>
          <w:sz w:val="28"/>
          <w:szCs w:val="27"/>
          <w:highlight w:val="none"/>
          <w:u w:val="none"/>
          <w:lang w:val="en-US" w:eastAsia="zh-CN"/>
        </w:rPr>
        <w:t>水利水保局</w:t>
      </w:r>
      <w:r>
        <w:rPr>
          <w:rFonts w:hint="default" w:ascii="仿宋_GB2312" w:hAnsi="仿宋_GB2312" w:eastAsia="仿宋_GB2312" w:cs="仿宋_GB2312"/>
          <w:i w:val="0"/>
          <w:iCs w:val="0"/>
          <w:caps w:val="0"/>
          <w:color w:val="000000"/>
          <w:spacing w:val="0"/>
          <w:sz w:val="28"/>
          <w:szCs w:val="27"/>
          <w:highlight w:val="none"/>
          <w:lang w:val="en-US" w:eastAsia="zh-CN"/>
        </w:rPr>
        <w:t>开展调研，收集相关政策文件和信息资料，编制绩效评价指标体系、评分标准和评价等级。</w:t>
      </w:r>
    </w:p>
    <w:p>
      <w:pPr>
        <w:pStyle w:val="6"/>
        <w:keepNext w:val="0"/>
        <w:keepLines w:val="0"/>
        <w:pageBreakBefore w:val="0"/>
        <w:wordWrap/>
        <w:topLinePunct w:val="0"/>
        <w:bidi w:val="0"/>
        <w:adjustRightInd/>
        <w:snapToGrid/>
        <w:rPr>
          <w:rFonts w:hint="default"/>
          <w:lang w:val="en-US" w:eastAsia="zh-CN"/>
        </w:rPr>
      </w:pPr>
      <w:r>
        <w:rPr>
          <w:rFonts w:hint="default"/>
          <w:lang w:val="en-US" w:eastAsia="zh-CN"/>
        </w:rPr>
        <w:t>2.组织实施阶段</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eastAsia" w:ascii="仿宋_GB2312" w:hAnsi="仿宋_GB2312" w:eastAsia="仿宋_GB2312" w:cs="仿宋_GB2312"/>
          <w:i w:val="0"/>
          <w:iCs w:val="0"/>
          <w:caps w:val="0"/>
          <w:color w:val="000000"/>
          <w:spacing w:val="0"/>
          <w:sz w:val="28"/>
          <w:szCs w:val="27"/>
          <w:highlight w:val="none"/>
          <w:lang w:val="en-US" w:eastAsia="zh-CN"/>
        </w:rPr>
      </w:pPr>
      <w:r>
        <w:rPr>
          <w:rFonts w:hint="default" w:ascii="仿宋_GB2312" w:hAnsi="仿宋_GB2312" w:eastAsia="仿宋_GB2312" w:cs="仿宋_GB2312"/>
          <w:i w:val="0"/>
          <w:iCs w:val="0"/>
          <w:caps w:val="0"/>
          <w:color w:val="000000"/>
          <w:spacing w:val="0"/>
          <w:sz w:val="28"/>
          <w:szCs w:val="27"/>
          <w:highlight w:val="none"/>
          <w:lang w:val="en-US" w:eastAsia="zh-CN"/>
        </w:rPr>
        <w:t>（1）</w:t>
      </w:r>
      <w:r>
        <w:rPr>
          <w:rFonts w:hint="eastAsia" w:ascii="仿宋_GB2312" w:hAnsi="仿宋_GB2312" w:eastAsia="仿宋_GB2312" w:cs="仿宋_GB2312"/>
          <w:i w:val="0"/>
          <w:iCs w:val="0"/>
          <w:caps w:val="0"/>
          <w:color w:val="000000"/>
          <w:spacing w:val="0"/>
          <w:sz w:val="28"/>
          <w:szCs w:val="27"/>
          <w:highlight w:val="none"/>
          <w:lang w:val="en-US" w:eastAsia="zh-CN"/>
        </w:rPr>
        <w:t>围绕评价指标补充</w:t>
      </w:r>
      <w:r>
        <w:rPr>
          <w:rFonts w:hint="default" w:ascii="仿宋_GB2312" w:hAnsi="仿宋_GB2312" w:eastAsia="仿宋_GB2312" w:cs="仿宋_GB2312"/>
          <w:i w:val="0"/>
          <w:iCs w:val="0"/>
          <w:caps w:val="0"/>
          <w:color w:val="000000"/>
          <w:spacing w:val="0"/>
          <w:sz w:val="28"/>
          <w:szCs w:val="27"/>
          <w:highlight w:val="none"/>
          <w:lang w:val="en-US" w:eastAsia="zh-CN"/>
        </w:rPr>
        <w:t>收集</w:t>
      </w:r>
      <w:r>
        <w:rPr>
          <w:rFonts w:hint="eastAsia" w:ascii="仿宋_GB2312" w:hAnsi="仿宋_GB2312" w:eastAsia="仿宋_GB2312" w:cs="仿宋_GB2312"/>
          <w:i w:val="0"/>
          <w:iCs w:val="0"/>
          <w:caps w:val="0"/>
          <w:color w:val="000000"/>
          <w:spacing w:val="0"/>
          <w:sz w:val="28"/>
          <w:szCs w:val="27"/>
          <w:highlight w:val="none"/>
          <w:lang w:val="en-US" w:eastAsia="zh-CN"/>
        </w:rPr>
        <w:t>相关</w:t>
      </w:r>
      <w:r>
        <w:rPr>
          <w:rFonts w:hint="default" w:ascii="仿宋_GB2312" w:hAnsi="仿宋_GB2312" w:eastAsia="仿宋_GB2312" w:cs="仿宋_GB2312"/>
          <w:i w:val="0"/>
          <w:iCs w:val="0"/>
          <w:caps w:val="0"/>
          <w:color w:val="000000"/>
          <w:spacing w:val="0"/>
          <w:sz w:val="28"/>
          <w:szCs w:val="27"/>
          <w:highlight w:val="none"/>
          <w:lang w:val="en-US" w:eastAsia="zh-CN"/>
        </w:rPr>
        <w:t>资料</w:t>
      </w:r>
      <w:r>
        <w:rPr>
          <w:rFonts w:hint="eastAsia" w:hAnsi="仿宋_GB2312" w:cs="仿宋_GB2312"/>
          <w:i w:val="0"/>
          <w:iCs w:val="0"/>
          <w:caps w:val="0"/>
          <w:color w:val="000000"/>
          <w:spacing w:val="0"/>
          <w:sz w:val="28"/>
          <w:szCs w:val="27"/>
          <w:highlight w:val="none"/>
          <w:lang w:val="en-US" w:eastAsia="zh-CN"/>
        </w:rPr>
        <w:t>。</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default" w:ascii="仿宋_GB2312" w:hAnsi="仿宋_GB2312" w:eastAsia="仿宋_GB2312" w:cs="仿宋_GB2312"/>
          <w:i w:val="0"/>
          <w:iCs w:val="0"/>
          <w:caps w:val="0"/>
          <w:color w:val="000000"/>
          <w:spacing w:val="0"/>
          <w:sz w:val="28"/>
          <w:szCs w:val="27"/>
          <w:highlight w:val="none"/>
          <w:lang w:val="en-US" w:eastAsia="zh-CN"/>
        </w:rPr>
      </w:pPr>
      <w:r>
        <w:rPr>
          <w:rFonts w:hint="default" w:ascii="仿宋_GB2312" w:hAnsi="仿宋_GB2312" w:eastAsia="仿宋_GB2312" w:cs="仿宋_GB2312"/>
          <w:i w:val="0"/>
          <w:iCs w:val="0"/>
          <w:caps w:val="0"/>
          <w:color w:val="000000"/>
          <w:spacing w:val="0"/>
          <w:sz w:val="28"/>
          <w:szCs w:val="27"/>
          <w:highlight w:val="none"/>
          <w:lang w:val="en-US" w:eastAsia="zh-CN"/>
        </w:rPr>
        <w:t>（2）现场勘查。根据评价对象的特点和项目单位提供的数据资料，现场勘查项目建设情况及运营情况。</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default" w:ascii="仿宋_GB2312" w:hAnsi="仿宋_GB2312" w:eastAsia="仿宋_GB2312" w:cs="仿宋_GB2312"/>
          <w:i w:val="0"/>
          <w:iCs w:val="0"/>
          <w:caps w:val="0"/>
          <w:color w:val="000000"/>
          <w:spacing w:val="0"/>
          <w:sz w:val="28"/>
          <w:szCs w:val="27"/>
          <w:highlight w:val="none"/>
          <w:lang w:val="en-US" w:eastAsia="zh-CN"/>
        </w:rPr>
      </w:pPr>
      <w:r>
        <w:rPr>
          <w:rFonts w:hint="default" w:ascii="仿宋_GB2312" w:hAnsi="仿宋_GB2312" w:eastAsia="仿宋_GB2312" w:cs="仿宋_GB2312"/>
          <w:i w:val="0"/>
          <w:iCs w:val="0"/>
          <w:caps w:val="0"/>
          <w:color w:val="000000"/>
          <w:spacing w:val="0"/>
          <w:sz w:val="28"/>
          <w:szCs w:val="27"/>
          <w:highlight w:val="none"/>
          <w:lang w:val="en-US" w:eastAsia="zh-CN"/>
        </w:rPr>
        <w:t>（</w:t>
      </w:r>
      <w:r>
        <w:rPr>
          <w:rFonts w:hint="eastAsia" w:hAnsi="仿宋_GB2312" w:cs="仿宋_GB2312"/>
          <w:i w:val="0"/>
          <w:iCs w:val="0"/>
          <w:caps w:val="0"/>
          <w:color w:val="000000"/>
          <w:spacing w:val="0"/>
          <w:sz w:val="28"/>
          <w:szCs w:val="27"/>
          <w:highlight w:val="none"/>
          <w:lang w:val="en-US" w:eastAsia="zh-CN"/>
        </w:rPr>
        <w:t>3</w:t>
      </w:r>
      <w:r>
        <w:rPr>
          <w:rFonts w:hint="default" w:ascii="仿宋_GB2312" w:hAnsi="仿宋_GB2312" w:eastAsia="仿宋_GB2312" w:cs="仿宋_GB2312"/>
          <w:i w:val="0"/>
          <w:iCs w:val="0"/>
          <w:caps w:val="0"/>
          <w:color w:val="000000"/>
          <w:spacing w:val="0"/>
          <w:sz w:val="28"/>
          <w:szCs w:val="27"/>
          <w:highlight w:val="none"/>
          <w:lang w:val="en-US" w:eastAsia="zh-CN"/>
        </w:rPr>
        <w:t>）综合评价。根据评价工作方案确定的评价指标、评价权重、评价标准和评价方法，对评价对象的情况进行全面的定量定性分析和综合评价。</w:t>
      </w:r>
    </w:p>
    <w:p>
      <w:pPr>
        <w:pStyle w:val="6"/>
        <w:keepNext w:val="0"/>
        <w:keepLines w:val="0"/>
        <w:pageBreakBefore w:val="0"/>
        <w:wordWrap/>
        <w:topLinePunct w:val="0"/>
        <w:bidi w:val="0"/>
        <w:adjustRightInd/>
        <w:snapToGrid/>
        <w:rPr>
          <w:rFonts w:hint="default"/>
          <w:lang w:val="en-US" w:eastAsia="zh-CN"/>
        </w:rPr>
      </w:pPr>
      <w:r>
        <w:rPr>
          <w:rFonts w:hint="default"/>
          <w:lang w:val="en-US" w:eastAsia="zh-CN"/>
        </w:rPr>
        <w:t>3.报告撰写阶段</w:t>
      </w:r>
    </w:p>
    <w:p>
      <w:pPr>
        <w:pStyle w:val="14"/>
        <w:keepNext w:val="0"/>
        <w:keepLines w:val="0"/>
        <w:pageBreakBefore w:val="0"/>
        <w:widowControl/>
        <w:suppressLineNumbers w:val="0"/>
        <w:kinsoku/>
        <w:wordWrap/>
        <w:overflowPunct/>
        <w:topLinePunct w:val="0"/>
        <w:autoSpaceDE/>
        <w:autoSpaceDN/>
        <w:bidi w:val="0"/>
        <w:adjustRightInd/>
        <w:snapToGrid/>
        <w:spacing w:beforeAutospacing="0" w:afterAutospacing="0"/>
        <w:ind w:left="0" w:firstLine="560" w:firstLineChars="200"/>
        <w:jc w:val="both"/>
        <w:textAlignment w:val="auto"/>
        <w:outlineLvl w:val="9"/>
        <w:rPr>
          <w:rFonts w:hint="default" w:ascii="仿宋_GB2312" w:hAnsi="仿宋_GB2312" w:eastAsia="仿宋_GB2312" w:cs="仿宋_GB2312"/>
          <w:i w:val="0"/>
          <w:iCs w:val="0"/>
          <w:caps w:val="0"/>
          <w:color w:val="000000"/>
          <w:spacing w:val="0"/>
          <w:sz w:val="28"/>
          <w:szCs w:val="27"/>
          <w:highlight w:val="none"/>
          <w:lang w:val="en-US" w:eastAsia="zh-CN"/>
        </w:rPr>
      </w:pPr>
      <w:r>
        <w:rPr>
          <w:rFonts w:hint="default" w:ascii="仿宋_GB2312" w:hAnsi="仿宋_GB2312" w:eastAsia="仿宋_GB2312" w:cs="仿宋_GB2312"/>
          <w:i w:val="0"/>
          <w:iCs w:val="0"/>
          <w:caps w:val="0"/>
          <w:color w:val="000000"/>
          <w:spacing w:val="0"/>
          <w:sz w:val="28"/>
          <w:szCs w:val="27"/>
          <w:highlight w:val="none"/>
          <w:lang w:val="en-US" w:eastAsia="zh-CN"/>
        </w:rPr>
        <w:t>绩效评价组根据被评价单位的绩效情况，按要求撰写评价报告，并根据专家意见进一步完善、修改绩效评价报告，形成</w:t>
      </w:r>
      <w:r>
        <w:rPr>
          <w:rFonts w:hint="eastAsia" w:ascii="仿宋_GB2312" w:hAnsi="仿宋_GB2312" w:eastAsia="仿宋_GB2312" w:cs="仿宋_GB2312"/>
          <w:i w:val="0"/>
          <w:iCs w:val="0"/>
          <w:caps w:val="0"/>
          <w:color w:val="000000"/>
          <w:spacing w:val="0"/>
          <w:sz w:val="28"/>
          <w:szCs w:val="27"/>
          <w:highlight w:val="none"/>
          <w:lang w:val="en-US" w:eastAsia="zh-CN"/>
        </w:rPr>
        <w:t>报告提交报送委托评价单位。</w:t>
      </w:r>
    </w:p>
    <w:bookmarkEnd w:id="64"/>
    <w:bookmarkEnd w:id="65"/>
    <w:bookmarkEnd w:id="66"/>
    <w:bookmarkEnd w:id="67"/>
    <w:bookmarkEnd w:id="68"/>
    <w:bookmarkEnd w:id="69"/>
    <w:bookmarkEnd w:id="70"/>
    <w:bookmarkEnd w:id="71"/>
    <w:bookmarkEnd w:id="72"/>
    <w:bookmarkEnd w:id="73"/>
    <w:bookmarkEnd w:id="74"/>
    <w:bookmarkEnd w:id="75"/>
    <w:bookmarkEnd w:id="76"/>
    <w:bookmarkEnd w:id="77"/>
    <w:p>
      <w:pPr>
        <w:pStyle w:val="4"/>
        <w:keepNext w:val="0"/>
        <w:keepLines w:val="0"/>
        <w:pageBreakBefore w:val="0"/>
        <w:wordWrap/>
        <w:topLinePunct w:val="0"/>
        <w:bidi w:val="0"/>
        <w:adjustRightInd/>
        <w:snapToGrid/>
        <w:rPr>
          <w:rFonts w:hint="default"/>
          <w:lang w:val="en-US" w:eastAsia="zh-CN"/>
        </w:rPr>
      </w:pPr>
      <w:bookmarkStart w:id="88" w:name="_Toc2515"/>
      <w:bookmarkStart w:id="89" w:name="_Toc9893"/>
      <w:bookmarkStart w:id="90" w:name="_Toc27733"/>
      <w:r>
        <w:rPr>
          <w:rFonts w:hint="eastAsia"/>
        </w:rPr>
        <w:t>三、</w:t>
      </w:r>
      <w:bookmarkEnd w:id="88"/>
      <w:bookmarkEnd w:id="89"/>
      <w:r>
        <w:rPr>
          <w:rFonts w:hint="eastAsia"/>
          <w:lang w:val="en-US" w:eastAsia="zh-CN"/>
        </w:rPr>
        <w:t>综合评价情况及评价结论</w:t>
      </w:r>
      <w:bookmarkEnd w:id="90"/>
    </w:p>
    <w:p>
      <w:pPr>
        <w:pStyle w:val="5"/>
        <w:keepNext w:val="0"/>
        <w:keepLines w:val="0"/>
        <w:pageBreakBefore w:val="0"/>
        <w:widowControl w:val="0"/>
        <w:kinsoku/>
        <w:wordWrap/>
        <w:topLinePunct w:val="0"/>
        <w:autoSpaceDE/>
        <w:autoSpaceDN/>
        <w:bidi w:val="0"/>
        <w:adjustRightInd/>
        <w:snapToGrid/>
        <w:ind w:firstLine="560"/>
        <w:textAlignment w:val="auto"/>
        <w:rPr>
          <w:rFonts w:hint="default" w:eastAsia="楷体_GB2312"/>
          <w:lang w:val="en-US" w:eastAsia="zh-CN"/>
        </w:rPr>
      </w:pPr>
      <w:bookmarkStart w:id="91" w:name="_Toc453771167"/>
      <w:bookmarkStart w:id="92" w:name="_Toc16955"/>
      <w:bookmarkStart w:id="93" w:name="_Toc29458"/>
      <w:bookmarkStart w:id="94" w:name="_Toc9894"/>
      <w:bookmarkStart w:id="95" w:name="_Toc26929"/>
      <w:bookmarkStart w:id="96" w:name="_Toc6539"/>
      <w:bookmarkStart w:id="97" w:name="_Toc3350"/>
      <w:bookmarkStart w:id="98" w:name="_Toc22708"/>
      <w:bookmarkStart w:id="99" w:name="_Toc24572"/>
      <w:bookmarkStart w:id="100" w:name="_Toc20304"/>
      <w:bookmarkStart w:id="101" w:name="_Toc28348"/>
      <w:bookmarkStart w:id="102" w:name="_Toc21601"/>
      <w:bookmarkStart w:id="103" w:name="_Toc19921"/>
      <w:bookmarkStart w:id="104" w:name="_Toc4476"/>
      <w:bookmarkStart w:id="105" w:name="_Toc14575"/>
      <w:bookmarkStart w:id="106" w:name="_Toc31436"/>
      <w:bookmarkStart w:id="107" w:name="_Toc15792"/>
      <w:bookmarkStart w:id="108" w:name="_Toc453771170"/>
      <w:bookmarkStart w:id="109" w:name="_Toc16417"/>
      <w:bookmarkStart w:id="110" w:name="_Toc12655"/>
      <w:bookmarkStart w:id="111" w:name="_Toc2389"/>
      <w:bookmarkStart w:id="112" w:name="_Toc28374"/>
      <w:bookmarkStart w:id="113" w:name="_Toc31408"/>
      <w:bookmarkStart w:id="114" w:name="_Toc31779"/>
      <w:r>
        <w:rPr>
          <w:rFonts w:hint="eastAsia"/>
        </w:rPr>
        <w:t>（一）</w:t>
      </w:r>
      <w:bookmarkEnd w:id="91"/>
      <w:bookmarkEnd w:id="92"/>
      <w:bookmarkEnd w:id="93"/>
      <w:bookmarkEnd w:id="94"/>
      <w:bookmarkEnd w:id="95"/>
      <w:bookmarkEnd w:id="96"/>
      <w:bookmarkEnd w:id="97"/>
      <w:bookmarkEnd w:id="98"/>
      <w:bookmarkEnd w:id="99"/>
      <w:bookmarkEnd w:id="100"/>
      <w:bookmarkEnd w:id="101"/>
      <w:bookmarkEnd w:id="102"/>
      <w:bookmarkEnd w:id="103"/>
      <w:r>
        <w:rPr>
          <w:rFonts w:hint="eastAsia"/>
          <w:lang w:val="en-US" w:eastAsia="zh-CN"/>
        </w:rPr>
        <w:t>综合评价情况</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u w:val="none"/>
          <w:lang w:val="en-US" w:eastAsia="zh-CN"/>
        </w:rPr>
      </w:pPr>
      <w:r>
        <w:rPr>
          <w:rFonts w:hint="eastAsia"/>
          <w:u w:val="none"/>
          <w:lang w:val="en-US" w:eastAsia="zh-CN"/>
        </w:rPr>
        <w:t>宁武县水利水保局2020年统筹整合财政资金绩效评价综合得分85.74分。评价等级为“良”。其中决策类指标得16.24分，过程类指标得16.79分，产出类指标得29.12分，效益类指标得23.59分。项目绩效得分见表3-1。</w:t>
      </w:r>
    </w:p>
    <w:p>
      <w:pPr>
        <w:pStyle w:val="2"/>
        <w:keepNext w:val="0"/>
        <w:keepLines w:val="0"/>
        <w:pageBreakBefore w:val="0"/>
        <w:widowControl w:val="0"/>
        <w:kinsoku/>
        <w:wordWrap/>
        <w:overflowPunct/>
        <w:topLinePunct w:val="0"/>
        <w:autoSpaceDE/>
        <w:autoSpaceDN/>
        <w:bidi w:val="0"/>
        <w:adjustRightInd/>
        <w:snapToGrid/>
        <w:spacing w:before="0" w:after="199" w:afterLines="50"/>
        <w:ind w:firstLine="0" w:firstLineChars="0"/>
        <w:jc w:val="center"/>
        <w:textAlignment w:val="auto"/>
        <w:rPr>
          <w:rFonts w:hint="eastAsia" w:ascii="宋体" w:hAnsi="宋体" w:eastAsia="宋体"/>
          <w:lang w:bidi="ar"/>
        </w:rPr>
      </w:pPr>
      <w:r>
        <w:rPr>
          <w:rFonts w:hint="eastAsia" w:ascii="宋体" w:hAnsi="宋体" w:eastAsia="宋体"/>
          <w:lang w:bidi="ar"/>
        </w:rPr>
        <w:t>表3-1 项目绩效评价评分表</w:t>
      </w:r>
    </w:p>
    <w:tbl>
      <w:tblPr>
        <w:tblStyle w:val="16"/>
        <w:tblW w:w="8392" w:type="dxa"/>
        <w:jc w:val="center"/>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2098"/>
        <w:gridCol w:w="2098"/>
        <w:gridCol w:w="2098"/>
        <w:gridCol w:w="2098"/>
      </w:tblGrid>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tblHeader/>
          <w:jc w:val="center"/>
        </w:trPr>
        <w:tc>
          <w:tcPr>
            <w:tcW w:w="2098" w:type="dxa"/>
            <w:tcBorders>
              <w:top w:val="double" w:color="auto" w:sz="4" w:space="0"/>
              <w:left w:val="nil"/>
            </w:tcBorders>
            <w:shd w:val="clear" w:color="auto" w:fill="BEBEBE"/>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b/>
                <w:bCs/>
                <w:color w:val="auto"/>
                <w:sz w:val="24"/>
              </w:rPr>
            </w:pPr>
            <w:r>
              <w:rPr>
                <w:rFonts w:hint="eastAsia" w:ascii="宋体" w:hAnsi="宋体" w:eastAsia="宋体"/>
                <w:b/>
                <w:bCs/>
                <w:color w:val="auto"/>
                <w:sz w:val="24"/>
              </w:rPr>
              <w:t>一级指标</w:t>
            </w:r>
          </w:p>
        </w:tc>
        <w:tc>
          <w:tcPr>
            <w:tcW w:w="2098" w:type="dxa"/>
            <w:tcBorders>
              <w:top w:val="double" w:color="auto" w:sz="4" w:space="0"/>
            </w:tcBorders>
            <w:shd w:val="clear" w:color="auto" w:fill="BEBEBE"/>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b/>
                <w:bCs/>
                <w:color w:val="auto"/>
                <w:sz w:val="24"/>
              </w:rPr>
            </w:pPr>
            <w:r>
              <w:rPr>
                <w:rFonts w:hint="eastAsia" w:ascii="宋体" w:hAnsi="宋体" w:eastAsia="宋体"/>
                <w:b/>
                <w:bCs/>
                <w:color w:val="auto"/>
                <w:sz w:val="24"/>
              </w:rPr>
              <w:t>权重</w:t>
            </w:r>
          </w:p>
        </w:tc>
        <w:tc>
          <w:tcPr>
            <w:tcW w:w="2098" w:type="dxa"/>
            <w:tcBorders>
              <w:top w:val="double" w:color="auto" w:sz="4" w:space="0"/>
            </w:tcBorders>
            <w:shd w:val="clear" w:color="auto" w:fill="BEBEBE"/>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b/>
                <w:bCs/>
                <w:color w:val="auto"/>
                <w:sz w:val="24"/>
              </w:rPr>
            </w:pPr>
            <w:r>
              <w:rPr>
                <w:rFonts w:hint="eastAsia" w:ascii="宋体" w:hAnsi="宋体" w:eastAsia="宋体"/>
                <w:b/>
                <w:bCs/>
                <w:color w:val="auto"/>
                <w:sz w:val="24"/>
              </w:rPr>
              <w:t>得分</w:t>
            </w:r>
          </w:p>
        </w:tc>
        <w:tc>
          <w:tcPr>
            <w:tcW w:w="2098" w:type="dxa"/>
            <w:tcBorders>
              <w:top w:val="double" w:color="auto" w:sz="4" w:space="0"/>
              <w:right w:val="nil"/>
            </w:tcBorders>
            <w:shd w:val="clear" w:color="auto" w:fill="BEBEBE"/>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b/>
                <w:bCs/>
                <w:color w:val="auto"/>
                <w:sz w:val="24"/>
              </w:rPr>
            </w:pPr>
            <w:r>
              <w:rPr>
                <w:rFonts w:hint="eastAsia" w:ascii="宋体" w:hAnsi="宋体" w:eastAsia="宋体"/>
                <w:b/>
                <w:bCs/>
                <w:color w:val="auto"/>
                <w:sz w:val="24"/>
              </w:rPr>
              <w:t>得分率</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jc w:val="center"/>
        </w:trPr>
        <w:tc>
          <w:tcPr>
            <w:tcW w:w="2098" w:type="dxa"/>
            <w:tcBorders>
              <w:left w:val="nil"/>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rPr>
              <w:t>决策</w:t>
            </w:r>
          </w:p>
        </w:tc>
        <w:tc>
          <w:tcPr>
            <w:tcW w:w="2098" w:type="dxa"/>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lang w:bidi="ar"/>
              </w:rPr>
              <w:t>20</w:t>
            </w:r>
          </w:p>
        </w:tc>
        <w:tc>
          <w:tcPr>
            <w:tcW w:w="2098" w:type="dxa"/>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16.24</w:t>
            </w:r>
          </w:p>
        </w:tc>
        <w:tc>
          <w:tcPr>
            <w:tcW w:w="2098" w:type="dxa"/>
            <w:tcBorders>
              <w:right w:val="nil"/>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81.20%</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jc w:val="center"/>
        </w:trPr>
        <w:tc>
          <w:tcPr>
            <w:tcW w:w="2098" w:type="dxa"/>
            <w:tcBorders>
              <w:left w:val="nil"/>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rPr>
              <w:t>过程</w:t>
            </w:r>
          </w:p>
        </w:tc>
        <w:tc>
          <w:tcPr>
            <w:tcW w:w="2098" w:type="dxa"/>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lang w:bidi="ar"/>
              </w:rPr>
              <w:t>20</w:t>
            </w:r>
          </w:p>
        </w:tc>
        <w:tc>
          <w:tcPr>
            <w:tcW w:w="2098" w:type="dxa"/>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16.79</w:t>
            </w:r>
          </w:p>
        </w:tc>
        <w:tc>
          <w:tcPr>
            <w:tcW w:w="2098" w:type="dxa"/>
            <w:tcBorders>
              <w:right w:val="nil"/>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83.95%</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jc w:val="center"/>
        </w:trPr>
        <w:tc>
          <w:tcPr>
            <w:tcW w:w="2098" w:type="dxa"/>
            <w:tcBorders>
              <w:left w:val="nil"/>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rPr>
              <w:t>产出</w:t>
            </w:r>
          </w:p>
        </w:tc>
        <w:tc>
          <w:tcPr>
            <w:tcW w:w="2098" w:type="dxa"/>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lang w:bidi="ar"/>
              </w:rPr>
              <w:t>30</w:t>
            </w:r>
          </w:p>
        </w:tc>
        <w:tc>
          <w:tcPr>
            <w:tcW w:w="2098" w:type="dxa"/>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29.12</w:t>
            </w:r>
          </w:p>
        </w:tc>
        <w:tc>
          <w:tcPr>
            <w:tcW w:w="2098" w:type="dxa"/>
            <w:tcBorders>
              <w:right w:val="nil"/>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97.07%</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jc w:val="center"/>
        </w:trPr>
        <w:tc>
          <w:tcPr>
            <w:tcW w:w="2098" w:type="dxa"/>
            <w:tcBorders>
              <w:left w:val="nil"/>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rPr>
              <w:t>效益</w:t>
            </w:r>
          </w:p>
        </w:tc>
        <w:tc>
          <w:tcPr>
            <w:tcW w:w="2098" w:type="dxa"/>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lang w:bidi="ar"/>
              </w:rPr>
              <w:t>30</w:t>
            </w:r>
          </w:p>
        </w:tc>
        <w:tc>
          <w:tcPr>
            <w:tcW w:w="2098" w:type="dxa"/>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23.59</w:t>
            </w:r>
          </w:p>
        </w:tc>
        <w:tc>
          <w:tcPr>
            <w:tcW w:w="2098" w:type="dxa"/>
            <w:tcBorders>
              <w:right w:val="nil"/>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78.63%</w:t>
            </w:r>
          </w:p>
        </w:tc>
      </w:tr>
      <w:tr>
        <w:tblPrEx>
          <w:tblBorders>
            <w:top w:val="single" w:color="auto" w:sz="4" w:space="0"/>
            <w:left w:val="single" w:color="auto" w:sz="4" w:space="0"/>
            <w:bottom w:val="single" w:color="auto" w:sz="4" w:space="0"/>
            <w:right w:val="single" w:color="auto" w:sz="4" w:space="0"/>
            <w:insideH w:val="dotted" w:color="auto" w:sz="4" w:space="0"/>
            <w:insideV w:val="dotted" w:color="auto" w:sz="4" w:space="0"/>
          </w:tblBorders>
          <w:tblCellMar>
            <w:top w:w="0" w:type="dxa"/>
            <w:left w:w="108" w:type="dxa"/>
            <w:bottom w:w="0" w:type="dxa"/>
            <w:right w:w="108" w:type="dxa"/>
          </w:tblCellMar>
        </w:tblPrEx>
        <w:trPr>
          <w:trHeight w:val="510" w:hRule="atLeast"/>
          <w:jc w:val="center"/>
        </w:trPr>
        <w:tc>
          <w:tcPr>
            <w:tcW w:w="2098" w:type="dxa"/>
            <w:tcBorders>
              <w:left w:val="nil"/>
              <w:bottom w:val="double" w:color="auto" w:sz="4" w:space="0"/>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rPr>
              <w:t>合计</w:t>
            </w:r>
          </w:p>
        </w:tc>
        <w:tc>
          <w:tcPr>
            <w:tcW w:w="2098" w:type="dxa"/>
            <w:tcBorders>
              <w:bottom w:val="double" w:color="auto" w:sz="4" w:space="0"/>
            </w:tcBorders>
            <w:vAlign w:val="center"/>
          </w:tcPr>
          <w:p>
            <w:pPr>
              <w:keepNext w:val="0"/>
              <w:keepLines w:val="0"/>
              <w:pageBreakBefore w:val="0"/>
              <w:wordWrap/>
              <w:topLinePunct w:val="0"/>
              <w:bidi w:val="0"/>
              <w:adjustRightInd/>
              <w:snapToGrid/>
              <w:spacing w:line="240" w:lineRule="auto"/>
              <w:ind w:firstLine="0" w:firstLineChars="0"/>
              <w:jc w:val="center"/>
              <w:rPr>
                <w:rFonts w:ascii="宋体" w:hAnsi="宋体" w:eastAsia="宋体"/>
                <w:color w:val="auto"/>
                <w:sz w:val="24"/>
              </w:rPr>
            </w:pPr>
            <w:r>
              <w:rPr>
                <w:rFonts w:hint="eastAsia" w:ascii="宋体" w:hAnsi="宋体" w:eastAsia="宋体"/>
                <w:color w:val="auto"/>
                <w:sz w:val="24"/>
                <w:lang w:bidi="ar"/>
              </w:rPr>
              <w:t>100</w:t>
            </w:r>
          </w:p>
        </w:tc>
        <w:tc>
          <w:tcPr>
            <w:tcW w:w="2098" w:type="dxa"/>
            <w:tcBorders>
              <w:bottom w:val="double" w:color="auto" w:sz="4" w:space="0"/>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vertAlign w:val="baseline"/>
                <w:lang w:val="en-US" w:eastAsia="zh-CN"/>
              </w:rPr>
              <w:t>85.74</w:t>
            </w:r>
          </w:p>
        </w:tc>
        <w:tc>
          <w:tcPr>
            <w:tcW w:w="2098" w:type="dxa"/>
            <w:tcBorders>
              <w:bottom w:val="double" w:color="auto" w:sz="4" w:space="0"/>
              <w:right w:val="nil"/>
            </w:tcBorders>
            <w:vAlign w:val="center"/>
          </w:tcPr>
          <w:p>
            <w:pPr>
              <w:keepNext w:val="0"/>
              <w:keepLines w:val="0"/>
              <w:pageBreakBefore w:val="0"/>
              <w:widowControl/>
              <w:numPr>
                <w:ilvl w:val="0"/>
                <w:numId w:val="0"/>
              </w:numPr>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theme="minorBidi"/>
                <w:color w:val="auto"/>
                <w:kern w:val="2"/>
                <w:sz w:val="24"/>
                <w:szCs w:val="24"/>
                <w:lang w:val="en-US" w:eastAsia="zh-CN" w:bidi="ar-SA"/>
              </w:rPr>
            </w:pPr>
            <w:r>
              <w:rPr>
                <w:rFonts w:hint="eastAsia" w:ascii="宋体" w:hAnsi="宋体" w:eastAsia="宋体" w:cs="宋体"/>
                <w:sz w:val="24"/>
                <w:szCs w:val="24"/>
                <w:highlight w:val="none"/>
                <w:vertAlign w:val="baseline"/>
                <w:lang w:val="en-US" w:eastAsia="zh-CN"/>
              </w:rPr>
              <w:t>85.74%</w:t>
            </w:r>
          </w:p>
        </w:tc>
      </w:tr>
    </w:tbl>
    <w:p>
      <w:pPr>
        <w:pStyle w:val="5"/>
        <w:keepNext w:val="0"/>
        <w:keepLines w:val="0"/>
        <w:pageBreakBefore w:val="0"/>
        <w:widowControl w:val="0"/>
        <w:kinsoku/>
        <w:wordWrap/>
        <w:overflowPunct/>
        <w:topLinePunct w:val="0"/>
        <w:autoSpaceDE/>
        <w:autoSpaceDN/>
        <w:bidi w:val="0"/>
        <w:adjustRightInd/>
        <w:snapToGrid/>
        <w:spacing w:before="199" w:beforeLines="50"/>
        <w:textAlignment w:val="auto"/>
        <w:outlineLvl w:val="1"/>
        <w:rPr>
          <w:rFonts w:hint="eastAsia"/>
          <w:lang w:val="en-US" w:eastAsia="zh-CN"/>
        </w:rPr>
      </w:pPr>
      <w:bookmarkStart w:id="115" w:name="_Toc31222"/>
      <w:bookmarkStart w:id="116" w:name="_Toc11448"/>
      <w:bookmarkStart w:id="117" w:name="_Toc9318"/>
      <w:r>
        <w:rPr>
          <w:rFonts w:hint="eastAsia" w:ascii="Arial" w:hAnsi="Arial" w:eastAsia="楷体_GB2312" w:cstheme="minorBidi"/>
          <w:b w:val="0"/>
          <w:bCs w:val="0"/>
          <w:kern w:val="2"/>
          <w:sz w:val="28"/>
          <w:szCs w:val="24"/>
          <w:lang w:val="en-US" w:eastAsia="zh-CN" w:bidi="ar-SA"/>
        </w:rPr>
        <w:t>（二）评价结论</w:t>
      </w:r>
      <w:bookmarkEnd w:id="115"/>
      <w:bookmarkEnd w:id="116"/>
      <w:bookmarkEnd w:id="117"/>
      <w:r>
        <w:rPr>
          <w:rFonts w:hint="eastAsia"/>
          <w:lang w:val="en-US" w:eastAsia="zh-CN"/>
        </w:rPr>
        <w:t xml:space="preserve"> </w:t>
      </w:r>
    </w:p>
    <w:p>
      <w:pPr>
        <w:keepNext w:val="0"/>
        <w:keepLines w:val="0"/>
        <w:pageBreakBefore w:val="0"/>
        <w:widowControl/>
        <w:numPr>
          <w:ilvl w:val="0"/>
          <w:numId w:val="0"/>
        </w:numPr>
        <w:tabs>
          <w:tab w:val="left" w:pos="1574"/>
        </w:tabs>
        <w:kinsoku/>
        <w:wordWrap/>
        <w:overflowPunct w:val="0"/>
        <w:topLinePunct w:val="0"/>
        <w:autoSpaceDE/>
        <w:autoSpaceDN/>
        <w:bidi w:val="0"/>
        <w:adjustRightInd/>
        <w:snapToGrid/>
        <w:spacing w:line="360" w:lineRule="auto"/>
        <w:ind w:leftChars="0" w:right="0" w:rightChars="0" w:firstLine="560" w:firstLineChars="200"/>
        <w:jc w:val="both"/>
        <w:textAlignment w:val="auto"/>
        <w:outlineLvl w:val="9"/>
        <w:rPr>
          <w:rFonts w:hint="eastAsia" w:ascii="仿宋_GB2312" w:hAnsi="仿宋_GB2312" w:cs="仿宋_GB2312"/>
          <w:sz w:val="28"/>
          <w:szCs w:val="28"/>
          <w:lang w:val="en-US" w:eastAsia="zh-CN"/>
        </w:rPr>
      </w:pPr>
      <w:r>
        <w:rPr>
          <w:rFonts w:hint="eastAsia" w:ascii="仿宋_GB2312" w:hAnsi="仿宋_GB2312" w:cs="仿宋_GB2312"/>
          <w:sz w:val="28"/>
          <w:szCs w:val="28"/>
          <w:lang w:val="en-US" w:eastAsia="zh-CN"/>
        </w:rPr>
        <w:t>恢河流域综合治理与生态修复工程依据省政府办公厅印发的《山西省桑干河流域生态修复与保护规划（2017-2030年）》文件立项；2020年以工代赈依据忻州市发展与改革委员会《关于转发下达忻州市2020年部分财政预算内以工代赈计划的通知》（忻发改发</w:t>
      </w:r>
      <w:r>
        <w:rPr>
          <w:rFonts w:hint="eastAsia" w:ascii="仿宋_GB2312" w:hAnsi="仿宋_GB2312" w:eastAsia="仿宋_GB2312" w:cs="仿宋_GB2312"/>
          <w:kern w:val="2"/>
          <w:sz w:val="28"/>
          <w:szCs w:val="28"/>
          <w:lang w:val="en-US" w:eastAsia="zh-CN" w:bidi="ar-SA"/>
        </w:rPr>
        <w:t>〔20</w:t>
      </w:r>
      <w:r>
        <w:rPr>
          <w:rFonts w:hint="eastAsia" w:ascii="仿宋_GB2312" w:hAnsi="仿宋_GB2312" w:cs="仿宋_GB2312"/>
          <w:kern w:val="2"/>
          <w:sz w:val="28"/>
          <w:szCs w:val="28"/>
          <w:lang w:val="en-US" w:eastAsia="zh-CN" w:bidi="ar-SA"/>
        </w:rPr>
        <w:t>19</w:t>
      </w:r>
      <w:r>
        <w:rPr>
          <w:rFonts w:hint="eastAsia" w:ascii="仿宋_GB2312" w:hAnsi="仿宋_GB2312" w:eastAsia="仿宋_GB2312" w:cs="仿宋_GB2312"/>
          <w:kern w:val="2"/>
          <w:sz w:val="28"/>
          <w:szCs w:val="28"/>
          <w:lang w:val="en-US" w:eastAsia="zh-CN" w:bidi="ar-SA"/>
        </w:rPr>
        <w:t>〕</w:t>
      </w:r>
      <w:r>
        <w:rPr>
          <w:rFonts w:hint="eastAsia" w:ascii="仿宋_GB2312" w:hAnsi="仿宋_GB2312" w:cs="仿宋_GB2312"/>
          <w:kern w:val="2"/>
          <w:sz w:val="28"/>
          <w:szCs w:val="28"/>
          <w:lang w:val="en-US" w:eastAsia="zh-CN" w:bidi="ar-SA"/>
        </w:rPr>
        <w:t>253号</w:t>
      </w:r>
      <w:r>
        <w:rPr>
          <w:rFonts w:hint="eastAsia" w:ascii="仿宋_GB2312" w:hAnsi="仿宋_GB2312" w:cs="仿宋_GB2312"/>
          <w:sz w:val="28"/>
          <w:szCs w:val="28"/>
          <w:lang w:val="en-US" w:eastAsia="zh-CN"/>
        </w:rPr>
        <w:t>）文件立项</w:t>
      </w:r>
      <w:r>
        <w:rPr>
          <w:rFonts w:hint="eastAsia" w:hAnsi="仿宋_GB2312" w:cs="仿宋_GB2312"/>
          <w:sz w:val="28"/>
          <w:szCs w:val="28"/>
          <w:lang w:val="en-US" w:eastAsia="zh-CN"/>
        </w:rPr>
        <w:t>；</w:t>
      </w:r>
      <w:r>
        <w:rPr>
          <w:rFonts w:hint="eastAsia" w:ascii="仿宋_GB2312" w:hAnsi="仿宋_GB2312" w:cs="仿宋_GB2312"/>
          <w:sz w:val="28"/>
          <w:szCs w:val="28"/>
          <w:lang w:val="en-US" w:eastAsia="zh-CN"/>
        </w:rPr>
        <w:t>各项目在建设前均编制项目绩效目标申报表，对项目预期产出目标及绩效目标进行详细说明，并且进行了科学合理的预算编制。按照实际建设目标，将各项目绩效目标细化分解为具体的社会、生态等绩效指标，通过可衡量的指标值予以体现。</w:t>
      </w:r>
    </w:p>
    <w:p>
      <w:pPr>
        <w:keepNext w:val="0"/>
        <w:keepLines w:val="0"/>
        <w:pageBreakBefore w:val="0"/>
        <w:widowControl/>
        <w:numPr>
          <w:ilvl w:val="0"/>
          <w:numId w:val="0"/>
        </w:numPr>
        <w:tabs>
          <w:tab w:val="left" w:pos="1574"/>
        </w:tabs>
        <w:kinsoku/>
        <w:wordWrap/>
        <w:overflowPunct w:val="0"/>
        <w:topLinePunct w:val="0"/>
        <w:autoSpaceDE/>
        <w:autoSpaceDN/>
        <w:bidi w:val="0"/>
        <w:adjustRightInd/>
        <w:snapToGrid/>
        <w:spacing w:line="360" w:lineRule="auto"/>
        <w:ind w:leftChars="0" w:right="0" w:rightChars="0" w:firstLine="560" w:firstLineChars="200"/>
        <w:jc w:val="both"/>
        <w:textAlignment w:val="auto"/>
        <w:outlineLvl w:val="9"/>
        <w:rPr>
          <w:rFonts w:hint="default"/>
          <w:highlight w:val="none"/>
          <w:lang w:val="en-US" w:eastAsia="zh-CN"/>
        </w:rPr>
      </w:pPr>
      <w:r>
        <w:rPr>
          <w:rFonts w:hint="eastAsia" w:ascii="仿宋_GB2312" w:hAnsi="仿宋_GB2312" w:cs="仿宋_GB2312"/>
          <w:sz w:val="28"/>
          <w:szCs w:val="28"/>
          <w:lang w:val="en-US" w:eastAsia="zh-CN"/>
        </w:rPr>
        <w:t>2020年农村饮水安全巩固提升及维修养护工程业务管理制度健全，制度合法合规，</w:t>
      </w:r>
      <w:r>
        <w:rPr>
          <w:rFonts w:hint="eastAsia" w:ascii="仿宋_GB2312" w:hAnsi="仿宋_GB2312" w:cs="仿宋_GB2312"/>
          <w:sz w:val="28"/>
          <w:szCs w:val="28"/>
          <w:highlight w:val="none"/>
          <w:lang w:val="en-US" w:eastAsia="zh-CN"/>
        </w:rPr>
        <w:t>其余项目均无项目管理制度</w:t>
      </w:r>
      <w:r>
        <w:rPr>
          <w:rFonts w:hint="eastAsia" w:ascii="仿宋_GB2312" w:hAnsi="仿宋_GB2312" w:cs="仿宋_GB2312"/>
          <w:sz w:val="28"/>
          <w:szCs w:val="28"/>
          <w:lang w:val="en-US" w:eastAsia="zh-CN"/>
        </w:rPr>
        <w:t>。各项目建设前编制了初步设计等建设方案；方案对项目建设任务、资金安排、进度安排、组织安排、保障措施等内容有完整反映，符合当地实际情况。恢河流域综合治理与生态修复工程于2018年9月27日开工，2019年11月27日完工，2020年11月25日组织验收工作，</w:t>
      </w:r>
      <w:r>
        <w:rPr>
          <w:rFonts w:hint="eastAsia" w:ascii="仿宋_GB2312" w:hAnsi="仿宋_GB2312" w:cs="仿宋_GB2312"/>
          <w:sz w:val="28"/>
          <w:szCs w:val="28"/>
          <w:highlight w:val="none"/>
          <w:lang w:val="en-US" w:eastAsia="zh-CN"/>
        </w:rPr>
        <w:t>验收工作滞后；2020年以工代赈灾毁水毁护村护地坝工程项目建设完成后未组织验收</w:t>
      </w:r>
      <w:r>
        <w:rPr>
          <w:rFonts w:hint="eastAsia" w:hAnsi="仿宋_GB2312" w:cs="仿宋_GB2312"/>
          <w:sz w:val="28"/>
          <w:szCs w:val="28"/>
          <w:highlight w:val="none"/>
          <w:lang w:val="en-US" w:eastAsia="zh-CN"/>
        </w:rPr>
        <w:t>；</w:t>
      </w:r>
      <w:r>
        <w:rPr>
          <w:rFonts w:hint="eastAsia" w:ascii="仿宋_GB2312" w:hAnsi="仿宋_GB2312" w:cs="仿宋_GB2312"/>
          <w:sz w:val="28"/>
          <w:szCs w:val="28"/>
          <w:lang w:val="en-US" w:eastAsia="zh-CN"/>
        </w:rPr>
        <w:t>2020年农村饮水安全巩固提升及维修养护工程：各村在建设完成后及时组织验收，</w:t>
      </w:r>
      <w:r>
        <w:rPr>
          <w:rFonts w:hint="eastAsia" w:ascii="仿宋_GB2312" w:hAnsi="仿宋_GB2312" w:cs="仿宋_GB2312"/>
          <w:sz w:val="28"/>
          <w:szCs w:val="28"/>
          <w:highlight w:val="none"/>
          <w:lang w:val="en-US" w:eastAsia="zh-CN"/>
        </w:rPr>
        <w:t>但验收资料内容不完整，无法反映项目具体完工</w:t>
      </w:r>
      <w:r>
        <w:rPr>
          <w:rFonts w:hint="eastAsia" w:ascii="仿宋_GB2312" w:hAnsi="仿宋_GB2312" w:cs="仿宋_GB2312"/>
          <w:sz w:val="28"/>
          <w:szCs w:val="28"/>
          <w:lang w:val="en-US" w:eastAsia="zh-CN"/>
        </w:rPr>
        <w:t>量。2020年以工代赈灾毁水毁护村护地坝工程按规定对项目进行公示，</w:t>
      </w:r>
      <w:r>
        <w:rPr>
          <w:rFonts w:hint="eastAsia" w:ascii="仿宋_GB2312" w:hAnsi="仿宋_GB2312" w:cs="仿宋_GB2312"/>
          <w:sz w:val="28"/>
          <w:szCs w:val="28"/>
          <w:highlight w:val="none"/>
          <w:lang w:val="en-US" w:eastAsia="zh-CN"/>
        </w:rPr>
        <w:t>其他项目均未提供公示资料。</w:t>
      </w:r>
      <w:r>
        <w:rPr>
          <w:rFonts w:hint="eastAsia" w:ascii="仿宋_GB2312" w:hAnsi="仿宋_GB2312" w:cs="仿宋_GB2312"/>
          <w:sz w:val="28"/>
          <w:szCs w:val="28"/>
          <w:lang w:val="en-US" w:eastAsia="zh-CN"/>
        </w:rPr>
        <w:t>各项目相关资料均单独归档，档案保管规范</w:t>
      </w:r>
      <w:r>
        <w:rPr>
          <w:rFonts w:hint="eastAsia" w:hAnsi="仿宋_GB2312" w:cs="仿宋_GB2312"/>
          <w:sz w:val="28"/>
          <w:szCs w:val="28"/>
          <w:lang w:val="en-US" w:eastAsia="zh-CN"/>
        </w:rPr>
        <w:t>。</w:t>
      </w:r>
      <w:r>
        <w:rPr>
          <w:rFonts w:hint="eastAsia" w:ascii="仿宋_GB2312" w:hAnsi="仿宋_GB2312" w:cs="仿宋_GB2312"/>
          <w:kern w:val="2"/>
          <w:sz w:val="28"/>
          <w:szCs w:val="28"/>
          <w:highlight w:val="none"/>
          <w:lang w:val="en-US" w:eastAsia="zh-CN" w:bidi="ar-SA"/>
        </w:rPr>
        <w:t>但部分村民反映本村集中供水点因地势高等原因存在出水少、取水难的情况。</w:t>
      </w:r>
    </w:p>
    <w:bookmarkEnd w:id="104"/>
    <w:bookmarkEnd w:id="105"/>
    <w:bookmarkEnd w:id="106"/>
    <w:bookmarkEnd w:id="107"/>
    <w:bookmarkEnd w:id="108"/>
    <w:bookmarkEnd w:id="109"/>
    <w:bookmarkEnd w:id="110"/>
    <w:bookmarkEnd w:id="111"/>
    <w:bookmarkEnd w:id="112"/>
    <w:bookmarkEnd w:id="113"/>
    <w:bookmarkEnd w:id="114"/>
    <w:p>
      <w:pPr>
        <w:pStyle w:val="4"/>
        <w:keepNext w:val="0"/>
        <w:keepLines w:val="0"/>
        <w:pageBreakBefore w:val="0"/>
        <w:wordWrap/>
        <w:topLinePunct w:val="0"/>
        <w:bidi w:val="0"/>
        <w:adjustRightInd/>
        <w:snapToGrid/>
        <w:ind w:firstLine="560"/>
        <w:rPr>
          <w:rFonts w:hint="default" w:eastAsia="黑体"/>
          <w:lang w:val="en-US" w:eastAsia="zh-CN"/>
        </w:rPr>
      </w:pPr>
      <w:bookmarkStart w:id="118" w:name="_Toc19277"/>
      <w:bookmarkStart w:id="119" w:name="_Toc10790"/>
      <w:r>
        <w:rPr>
          <w:rFonts w:hint="eastAsia"/>
          <w:lang w:val="en-US" w:eastAsia="zh-CN"/>
        </w:rPr>
        <w:t>四</w:t>
      </w:r>
      <w:r>
        <w:rPr>
          <w:rFonts w:hint="eastAsia"/>
        </w:rPr>
        <w:t>、</w:t>
      </w:r>
      <w:r>
        <w:rPr>
          <w:rFonts w:hint="eastAsia"/>
          <w:lang w:val="en-US" w:eastAsia="zh-CN"/>
        </w:rPr>
        <w:t>存在的问题</w:t>
      </w:r>
      <w:bookmarkEnd w:id="118"/>
      <w:bookmarkEnd w:id="119"/>
    </w:p>
    <w:p>
      <w:pPr>
        <w:keepNext w:val="0"/>
        <w:keepLines w:val="0"/>
        <w:pageBreakBefore w:val="0"/>
        <w:wordWrap/>
        <w:topLinePunct w:val="0"/>
        <w:bidi w:val="0"/>
        <w:adjustRightInd/>
        <w:snapToGrid/>
        <w:rPr>
          <w:rFonts w:hint="eastAsia"/>
        </w:rPr>
      </w:pPr>
      <w:bookmarkStart w:id="120" w:name="_Toc1199"/>
      <w:bookmarkStart w:id="121" w:name="_Toc844"/>
      <w:bookmarkStart w:id="122" w:name="_Toc31995"/>
      <w:r>
        <w:rPr>
          <w:rFonts w:hint="eastAsia"/>
        </w:rPr>
        <w:t>总体而言，</w:t>
      </w:r>
      <w:r>
        <w:rPr>
          <w:rFonts w:hint="eastAsia"/>
          <w:lang w:eastAsia="zh-CN"/>
        </w:rPr>
        <w:t>宁武县水利水保局</w:t>
      </w:r>
      <w:r>
        <w:rPr>
          <w:rFonts w:hint="eastAsia"/>
          <w:lang w:val="en-US" w:eastAsia="zh-CN"/>
        </w:rPr>
        <w:t>2020</w:t>
      </w:r>
      <w:r>
        <w:rPr>
          <w:rFonts w:hint="eastAsia"/>
        </w:rPr>
        <w:t>年财政统筹整合资金基本实现了预期的绩效目标，但某些方面仍存在一定的问题和不足，主要有：</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outlineLvl w:val="1"/>
        <w:rPr>
          <w:rFonts w:hint="eastAsia" w:ascii="楷体_GB2312" w:hAnsi="楷体_GB2312" w:eastAsia="楷体_GB2312" w:cs="楷体_GB2312"/>
          <w:b w:val="0"/>
          <w:bCs w:val="0"/>
          <w:kern w:val="2"/>
          <w:sz w:val="28"/>
          <w:szCs w:val="24"/>
          <w:lang w:val="en-US" w:eastAsia="zh-CN" w:bidi="ar-SA"/>
        </w:rPr>
      </w:pPr>
      <w:bookmarkStart w:id="123" w:name="_Toc6925"/>
      <w:bookmarkStart w:id="124" w:name="_Toc8088_WPSOffice_Level2"/>
      <w:bookmarkStart w:id="125" w:name="_Toc20785"/>
      <w:bookmarkStart w:id="126" w:name="_Toc20058"/>
      <w:bookmarkStart w:id="127" w:name="_Toc19715"/>
      <w:bookmarkStart w:id="128" w:name="_Toc4633"/>
      <w:bookmarkStart w:id="129" w:name="_Toc26209"/>
      <w:r>
        <w:rPr>
          <w:rFonts w:hint="eastAsia" w:ascii="楷体_GB2312" w:hAnsi="楷体_GB2312" w:eastAsia="楷体_GB2312" w:cs="楷体_GB2312"/>
          <w:b w:val="0"/>
          <w:bCs w:val="0"/>
          <w:kern w:val="2"/>
          <w:sz w:val="28"/>
          <w:szCs w:val="24"/>
          <w:lang w:val="en-US" w:eastAsia="zh-CN" w:bidi="ar-SA"/>
        </w:rPr>
        <w:t>（一）恢河流域综合治理与生态修复工程存在的问题</w:t>
      </w:r>
      <w:bookmarkEnd w:id="123"/>
      <w:bookmarkEnd w:id="124"/>
      <w:bookmarkEnd w:id="125"/>
      <w:bookmarkEnd w:id="126"/>
      <w:bookmarkEnd w:id="127"/>
      <w:bookmarkEnd w:id="128"/>
      <w:bookmarkEnd w:id="129"/>
    </w:p>
    <w:p>
      <w:pPr>
        <w:keepNext w:val="0"/>
        <w:keepLines w:val="0"/>
        <w:pageBreakBefore w:val="0"/>
        <w:widowControl/>
        <w:tabs>
          <w:tab w:val="left" w:pos="241"/>
        </w:tabs>
        <w:kinsoku/>
        <w:wordWrap/>
        <w:overflowPunct w:val="0"/>
        <w:topLinePunct w:val="0"/>
        <w:autoSpaceDE/>
        <w:autoSpaceDN/>
        <w:bidi w:val="0"/>
        <w:adjustRightInd/>
        <w:snapToGrid/>
        <w:ind w:left="0" w:leftChars="0" w:firstLine="562" w:firstLineChars="200"/>
        <w:jc w:val="left"/>
        <w:textAlignment w:val="auto"/>
        <w:outlineLvl w:val="2"/>
        <w:rPr>
          <w:rFonts w:hint="eastAsia" w:ascii="仿宋_GB2312" w:hAnsi="仿宋_GB2312" w:eastAsia="仿宋_GB2312" w:cs="仿宋_GB2312"/>
          <w:b/>
          <w:bCs/>
          <w:kern w:val="2"/>
          <w:sz w:val="28"/>
          <w:szCs w:val="28"/>
          <w:lang w:val="en-US" w:eastAsia="zh-CN" w:bidi="ar-SA"/>
        </w:rPr>
      </w:pPr>
      <w:bookmarkStart w:id="130" w:name="_Toc25291_WPSOffice_Level3"/>
      <w:bookmarkStart w:id="131" w:name="_Toc9499_WPSOffice_Level3"/>
      <w:r>
        <w:rPr>
          <w:rFonts w:hint="eastAsia" w:ascii="仿宋_GB2312" w:hAnsi="仿宋_GB2312" w:eastAsia="仿宋_GB2312" w:cs="仿宋_GB2312"/>
          <w:b/>
          <w:bCs/>
          <w:kern w:val="2"/>
          <w:sz w:val="28"/>
          <w:szCs w:val="28"/>
          <w:lang w:val="en-US" w:eastAsia="zh-CN" w:bidi="ar-SA"/>
        </w:rPr>
        <w:t>1.项目资金拨付不到位，工程进度款支付缓慢</w:t>
      </w:r>
      <w:bookmarkEnd w:id="130"/>
      <w:bookmarkEnd w:id="131"/>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eastAsia" w:ascii="仿宋_GB2312" w:hAnsi="仿宋_GB2312" w:eastAsia="仿宋_GB2312" w:cs="仿宋_GB2312"/>
          <w:b w:val="0"/>
          <w:bCs w:val="0"/>
          <w:kern w:val="2"/>
          <w:sz w:val="28"/>
          <w:szCs w:val="28"/>
          <w:lang w:val="en-US" w:eastAsia="zh-CN" w:bidi="ar-SA"/>
        </w:rPr>
      </w:pPr>
      <w:bookmarkStart w:id="132" w:name="_Toc9939_WPSOffice_Level3"/>
      <w:bookmarkStart w:id="133" w:name="_Toc22964_WPSOffice_Level3"/>
      <w:r>
        <w:rPr>
          <w:rFonts w:hint="eastAsia" w:ascii="仿宋_GB2312" w:hAnsi="仿宋_GB2312" w:eastAsia="仿宋_GB2312" w:cs="仿宋_GB2312"/>
          <w:b w:val="0"/>
          <w:bCs w:val="0"/>
          <w:kern w:val="2"/>
          <w:sz w:val="28"/>
          <w:szCs w:val="28"/>
          <w:lang w:val="en-US" w:eastAsia="zh-CN" w:bidi="ar-SA"/>
        </w:rPr>
        <w:t>本项目由市</w:t>
      </w:r>
      <w:r>
        <w:rPr>
          <w:rFonts w:hint="eastAsia" w:ascii="仿宋_GB2312" w:hAnsi="仿宋_GB2312" w:cs="仿宋_GB2312"/>
          <w:b w:val="0"/>
          <w:bCs w:val="0"/>
          <w:kern w:val="2"/>
          <w:sz w:val="28"/>
          <w:szCs w:val="28"/>
          <w:lang w:val="en-US" w:eastAsia="zh-CN" w:bidi="ar-SA"/>
        </w:rPr>
        <w:t>水利水保局</w:t>
      </w:r>
      <w:r>
        <w:rPr>
          <w:rFonts w:hint="eastAsia" w:ascii="仿宋_GB2312" w:hAnsi="仿宋_GB2312" w:eastAsia="仿宋_GB2312" w:cs="仿宋_GB2312"/>
          <w:b w:val="0"/>
          <w:bCs w:val="0"/>
          <w:kern w:val="2"/>
          <w:sz w:val="28"/>
          <w:szCs w:val="28"/>
          <w:lang w:val="en-US" w:eastAsia="zh-CN" w:bidi="ar-SA"/>
        </w:rPr>
        <w:t>下达2018年第一批水利发展资金2</w:t>
      </w:r>
      <w:r>
        <w:rPr>
          <w:rFonts w:hint="eastAsia" w:ascii="仿宋_GB2312" w:hAnsi="仿宋_GB2312" w:cs="仿宋_GB2312"/>
          <w:b w:val="0"/>
          <w:bCs w:val="0"/>
          <w:kern w:val="2"/>
          <w:sz w:val="28"/>
          <w:szCs w:val="28"/>
          <w:lang w:val="en-US" w:eastAsia="zh-CN" w:bidi="ar-SA"/>
        </w:rPr>
        <w:t>,</w:t>
      </w:r>
      <w:r>
        <w:rPr>
          <w:rFonts w:hint="eastAsia" w:ascii="仿宋_GB2312" w:hAnsi="仿宋_GB2312" w:eastAsia="仿宋_GB2312" w:cs="仿宋_GB2312"/>
          <w:b w:val="0"/>
          <w:bCs w:val="0"/>
          <w:kern w:val="2"/>
          <w:sz w:val="28"/>
          <w:szCs w:val="28"/>
          <w:lang w:val="en-US" w:eastAsia="zh-CN" w:bidi="ar-SA"/>
        </w:rPr>
        <w:t>500万元，县级自筹38.22万元，由县财政整合后逐年下拨。2018年项目拨付资金578万元，2019年实际拨付资金198万元，2020年实际拨付资金400万元，</w:t>
      </w:r>
      <w:r>
        <w:rPr>
          <w:rFonts w:hint="eastAsia" w:ascii="仿宋_GB2312" w:hAnsi="仿宋_GB2312" w:cs="仿宋_GB2312"/>
          <w:b w:val="0"/>
          <w:bCs w:val="0"/>
          <w:kern w:val="2"/>
          <w:sz w:val="28"/>
          <w:szCs w:val="28"/>
          <w:lang w:val="en-US" w:eastAsia="zh-CN" w:bidi="ar-SA"/>
        </w:rPr>
        <w:t>截至</w:t>
      </w:r>
      <w:r>
        <w:rPr>
          <w:rFonts w:hint="eastAsia" w:ascii="仿宋_GB2312" w:hAnsi="仿宋_GB2312" w:eastAsia="仿宋_GB2312" w:cs="仿宋_GB2312"/>
          <w:b w:val="0"/>
          <w:bCs w:val="0"/>
          <w:kern w:val="2"/>
          <w:sz w:val="28"/>
          <w:szCs w:val="28"/>
          <w:lang w:val="en-US" w:eastAsia="zh-CN" w:bidi="ar-SA"/>
        </w:rPr>
        <w:t>2020年12月31日，项目完工验收，累计拨付资金1176万元，占总投资额46.33%，资金拨付不到位，工程进度款拨付缓慢。</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2" w:firstLineChars="200"/>
        <w:jc w:val="left"/>
        <w:textAlignment w:val="auto"/>
        <w:outlineLvl w:val="2"/>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2.部分施工段栽种植物存活率低</w:t>
      </w:r>
      <w:bookmarkEnd w:id="132"/>
      <w:bookmarkEnd w:id="133"/>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default" w:ascii="仿宋_GB2312" w:hAnsi="仿宋_GB2312" w:cs="仿宋_GB2312"/>
          <w:b w:val="0"/>
          <w:bCs w:val="0"/>
          <w:kern w:val="2"/>
          <w:sz w:val="28"/>
          <w:szCs w:val="28"/>
          <w:vertAlign w:val="baseline"/>
          <w:lang w:val="en-US" w:eastAsia="zh-CN" w:bidi="ar-SA"/>
        </w:rPr>
      </w:pPr>
      <w:r>
        <w:rPr>
          <w:rFonts w:hint="eastAsia" w:ascii="仿宋_GB2312" w:hAnsi="仿宋_GB2312" w:cs="仿宋_GB2312"/>
          <w:b w:val="0"/>
          <w:bCs w:val="0"/>
          <w:kern w:val="2"/>
          <w:sz w:val="28"/>
          <w:szCs w:val="28"/>
          <w:highlight w:val="none"/>
          <w:lang w:val="en-US" w:eastAsia="zh-CN" w:bidi="ar-SA"/>
        </w:rPr>
        <w:t>根据对项目栽种现场查看，部分河道两侧生态植物生长较差，成活率低，生态毯在未充分发挥作用时已被破坏，部分地区两侧山体生态植物存在存活率低的情况。</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4261" w:type="dxa"/>
            <w:vAlign w:val="center"/>
          </w:tcPr>
          <w:p>
            <w:pPr>
              <w:keepNext w:val="0"/>
              <w:keepLines w:val="0"/>
              <w:pageBreakBefore w:val="0"/>
              <w:widowControl/>
              <w:numPr>
                <w:ilvl w:val="0"/>
                <w:numId w:val="0"/>
              </w:numPr>
              <w:tabs>
                <w:tab w:val="left" w:pos="241"/>
              </w:tabs>
              <w:kinsoku/>
              <w:wordWrap/>
              <w:overflowPunct w:val="0"/>
              <w:topLinePunct w:val="0"/>
              <w:autoSpaceDE/>
              <w:autoSpaceDN/>
              <w:bidi w:val="0"/>
              <w:adjustRightInd/>
              <w:snapToGrid/>
              <w:spacing w:before="313" w:beforeLines="100"/>
              <w:ind w:leftChars="0"/>
              <w:jc w:val="left"/>
              <w:textAlignment w:val="auto"/>
              <w:rPr>
                <w:rFonts w:hint="default" w:ascii="仿宋_GB2312" w:hAnsi="仿宋_GB2312" w:cs="仿宋_GB2312"/>
                <w:b w:val="0"/>
                <w:bCs w:val="0"/>
                <w:kern w:val="2"/>
                <w:sz w:val="28"/>
                <w:szCs w:val="28"/>
                <w:vertAlign w:val="baseline"/>
                <w:lang w:val="en-US" w:eastAsia="zh-CN" w:bidi="ar-SA"/>
              </w:rPr>
            </w:pPr>
            <w:r>
              <w:rPr>
                <w:rFonts w:hint="default" w:ascii="仿宋_GB2312" w:hAnsi="仿宋_GB2312" w:cs="仿宋_GB2312"/>
                <w:b w:val="0"/>
                <w:bCs w:val="0"/>
                <w:kern w:val="2"/>
                <w:sz w:val="28"/>
                <w:szCs w:val="28"/>
                <w:vertAlign w:val="baseline"/>
                <w:lang w:val="en-US" w:eastAsia="zh-CN" w:bidi="ar-SA"/>
              </w:rPr>
              <w:drawing>
                <wp:anchor distT="0" distB="0" distL="114300" distR="114300" simplePos="0" relativeHeight="251659264" behindDoc="1" locked="0" layoutInCell="1" allowOverlap="1">
                  <wp:simplePos x="0" y="0"/>
                  <wp:positionH relativeFrom="column">
                    <wp:posOffset>-53340</wp:posOffset>
                  </wp:positionH>
                  <wp:positionV relativeFrom="paragraph">
                    <wp:posOffset>23495</wp:posOffset>
                  </wp:positionV>
                  <wp:extent cx="2674620" cy="1944370"/>
                  <wp:effectExtent l="0" t="0" r="5080" b="11430"/>
                  <wp:wrapTight wrapText="bothSides">
                    <wp:wrapPolygon>
                      <wp:start x="0" y="0"/>
                      <wp:lineTo x="0" y="21445"/>
                      <wp:lineTo x="21538" y="21445"/>
                      <wp:lineTo x="21538" y="0"/>
                      <wp:lineTo x="0" y="0"/>
                    </wp:wrapPolygon>
                  </wp:wrapTight>
                  <wp:docPr id="1" name="图片 1" descr="3a26c5afe49262ae136a75bbeb17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a26c5afe49262ae136a75bbeb17fab"/>
                          <pic:cNvPicPr>
                            <a:picLocks noChangeAspect="1"/>
                          </pic:cNvPicPr>
                        </pic:nvPicPr>
                        <pic:blipFill>
                          <a:blip r:embed="rId11"/>
                          <a:stretch>
                            <a:fillRect/>
                          </a:stretch>
                        </pic:blipFill>
                        <pic:spPr>
                          <a:xfrm>
                            <a:off x="0" y="0"/>
                            <a:ext cx="2674620" cy="1944370"/>
                          </a:xfrm>
                          <a:prstGeom prst="rect">
                            <a:avLst/>
                          </a:prstGeom>
                        </pic:spPr>
                      </pic:pic>
                    </a:graphicData>
                  </a:graphic>
                </wp:anchor>
              </w:drawing>
            </w:r>
          </w:p>
        </w:tc>
        <w:tc>
          <w:tcPr>
            <w:tcW w:w="4261" w:type="dxa"/>
            <w:vAlign w:val="center"/>
          </w:tcPr>
          <w:p>
            <w:pPr>
              <w:keepNext w:val="0"/>
              <w:keepLines w:val="0"/>
              <w:pageBreakBefore w:val="0"/>
              <w:widowControl/>
              <w:numPr>
                <w:ilvl w:val="0"/>
                <w:numId w:val="0"/>
              </w:numPr>
              <w:tabs>
                <w:tab w:val="left" w:pos="241"/>
              </w:tabs>
              <w:kinsoku/>
              <w:wordWrap/>
              <w:overflowPunct w:val="0"/>
              <w:topLinePunct w:val="0"/>
              <w:autoSpaceDE/>
              <w:autoSpaceDN/>
              <w:bidi w:val="0"/>
              <w:adjustRightInd/>
              <w:snapToGrid/>
              <w:spacing w:before="313" w:beforeLines="100"/>
              <w:ind w:leftChars="0"/>
              <w:jc w:val="left"/>
              <w:textAlignment w:val="auto"/>
              <w:rPr>
                <w:rFonts w:hint="default" w:ascii="仿宋_GB2312" w:hAnsi="仿宋_GB2312" w:cs="仿宋_GB2312"/>
                <w:b w:val="0"/>
                <w:bCs w:val="0"/>
                <w:kern w:val="2"/>
                <w:sz w:val="28"/>
                <w:szCs w:val="28"/>
                <w:vertAlign w:val="baseline"/>
                <w:lang w:val="en-US" w:eastAsia="zh-CN" w:bidi="ar-SA"/>
              </w:rPr>
            </w:pPr>
            <w:r>
              <w:rPr>
                <w:rFonts w:hint="default" w:ascii="仿宋_GB2312" w:hAnsi="仿宋_GB2312" w:cs="仿宋_GB2312"/>
                <w:b w:val="0"/>
                <w:bCs w:val="0"/>
                <w:kern w:val="2"/>
                <w:sz w:val="28"/>
                <w:szCs w:val="28"/>
                <w:vertAlign w:val="baseline"/>
                <w:lang w:val="en-US" w:eastAsia="zh-CN" w:bidi="ar-SA"/>
              </w:rPr>
              <w:drawing>
                <wp:anchor distT="0" distB="0" distL="114300" distR="114300" simplePos="0" relativeHeight="251660288" behindDoc="1" locked="0" layoutInCell="1" allowOverlap="1">
                  <wp:simplePos x="0" y="0"/>
                  <wp:positionH relativeFrom="column">
                    <wp:posOffset>307340</wp:posOffset>
                  </wp:positionH>
                  <wp:positionV relativeFrom="paragraph">
                    <wp:posOffset>-1102360</wp:posOffset>
                  </wp:positionV>
                  <wp:extent cx="1951990" cy="2658110"/>
                  <wp:effectExtent l="0" t="0" r="8890" b="3810"/>
                  <wp:wrapTight wrapText="bothSides">
                    <wp:wrapPolygon>
                      <wp:start x="21600" y="0"/>
                      <wp:lineTo x="98" y="0"/>
                      <wp:lineTo x="98" y="21466"/>
                      <wp:lineTo x="21600" y="21466"/>
                      <wp:lineTo x="21600" y="0"/>
                    </wp:wrapPolygon>
                  </wp:wrapTight>
                  <wp:docPr id="2" name="图片 2" descr="39b7f903cf2441fc7a6661ede5c8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9b7f903cf2441fc7a6661ede5c8baa"/>
                          <pic:cNvPicPr>
                            <a:picLocks noChangeAspect="1"/>
                          </pic:cNvPicPr>
                        </pic:nvPicPr>
                        <pic:blipFill>
                          <a:blip r:embed="rId12"/>
                          <a:stretch>
                            <a:fillRect/>
                          </a:stretch>
                        </pic:blipFill>
                        <pic:spPr>
                          <a:xfrm rot="16200000">
                            <a:off x="0" y="0"/>
                            <a:ext cx="1951990" cy="26581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4261" w:type="dxa"/>
            <w:vAlign w:val="center"/>
          </w:tcPr>
          <w:p>
            <w:pPr>
              <w:keepNext w:val="0"/>
              <w:keepLines w:val="0"/>
              <w:pageBreakBefore w:val="0"/>
              <w:widowControl/>
              <w:numPr>
                <w:ilvl w:val="0"/>
                <w:numId w:val="0"/>
              </w:numPr>
              <w:tabs>
                <w:tab w:val="left" w:pos="241"/>
              </w:tabs>
              <w:kinsoku/>
              <w:wordWrap/>
              <w:overflowPunct w:val="0"/>
              <w:topLinePunct w:val="0"/>
              <w:autoSpaceDE/>
              <w:autoSpaceDN/>
              <w:bidi w:val="0"/>
              <w:adjustRightInd/>
              <w:snapToGrid/>
              <w:spacing w:before="313" w:beforeLines="100"/>
              <w:ind w:leftChars="0"/>
              <w:jc w:val="left"/>
              <w:textAlignment w:val="auto"/>
              <w:rPr>
                <w:rFonts w:hint="default" w:ascii="仿宋_GB2312" w:hAnsi="仿宋_GB2312" w:cs="仿宋_GB2312"/>
                <w:b w:val="0"/>
                <w:bCs w:val="0"/>
                <w:kern w:val="2"/>
                <w:sz w:val="28"/>
                <w:szCs w:val="28"/>
                <w:vertAlign w:val="baseline"/>
                <w:lang w:val="en-US" w:eastAsia="zh-CN" w:bidi="ar-SA"/>
              </w:rPr>
            </w:pPr>
            <w:r>
              <w:rPr>
                <w:rFonts w:hint="default" w:ascii="仿宋_GB2312" w:hAnsi="仿宋_GB2312" w:cs="仿宋_GB2312"/>
                <w:b w:val="0"/>
                <w:bCs w:val="0"/>
                <w:kern w:val="2"/>
                <w:sz w:val="28"/>
                <w:szCs w:val="28"/>
                <w:vertAlign w:val="baseline"/>
                <w:lang w:val="en-US" w:eastAsia="zh-CN" w:bidi="ar-SA"/>
              </w:rPr>
              <w:drawing>
                <wp:anchor distT="0" distB="0" distL="114300" distR="114300" simplePos="0" relativeHeight="251661312" behindDoc="1" locked="0" layoutInCell="1" allowOverlap="1">
                  <wp:simplePos x="0" y="0"/>
                  <wp:positionH relativeFrom="column">
                    <wp:posOffset>308610</wp:posOffset>
                  </wp:positionH>
                  <wp:positionV relativeFrom="paragraph">
                    <wp:posOffset>-334645</wp:posOffset>
                  </wp:positionV>
                  <wp:extent cx="1935480" cy="2640965"/>
                  <wp:effectExtent l="0" t="0" r="635" b="7620"/>
                  <wp:wrapTight wrapText="bothSides">
                    <wp:wrapPolygon>
                      <wp:start x="21600" y="5"/>
                      <wp:lineTo x="198" y="5"/>
                      <wp:lineTo x="198" y="21507"/>
                      <wp:lineTo x="21600" y="21507"/>
                      <wp:lineTo x="21600" y="5"/>
                    </wp:wrapPolygon>
                  </wp:wrapTight>
                  <wp:docPr id="3" name="图片 3" descr="12944a684b621d6e97cb805fcd89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944a684b621d6e97cb805fcd899f3"/>
                          <pic:cNvPicPr>
                            <a:picLocks noChangeAspect="1"/>
                          </pic:cNvPicPr>
                        </pic:nvPicPr>
                        <pic:blipFill>
                          <a:blip r:embed="rId13"/>
                          <a:stretch>
                            <a:fillRect/>
                          </a:stretch>
                        </pic:blipFill>
                        <pic:spPr>
                          <a:xfrm rot="16200000">
                            <a:off x="0" y="0"/>
                            <a:ext cx="1935480" cy="2640965"/>
                          </a:xfrm>
                          <a:prstGeom prst="rect">
                            <a:avLst/>
                          </a:prstGeom>
                        </pic:spPr>
                      </pic:pic>
                    </a:graphicData>
                  </a:graphic>
                </wp:anchor>
              </w:drawing>
            </w:r>
          </w:p>
        </w:tc>
        <w:tc>
          <w:tcPr>
            <w:tcW w:w="4261" w:type="dxa"/>
            <w:vAlign w:val="center"/>
          </w:tcPr>
          <w:p>
            <w:pPr>
              <w:keepNext w:val="0"/>
              <w:keepLines w:val="0"/>
              <w:pageBreakBefore w:val="0"/>
              <w:widowControl/>
              <w:numPr>
                <w:ilvl w:val="0"/>
                <w:numId w:val="0"/>
              </w:numPr>
              <w:tabs>
                <w:tab w:val="left" w:pos="241"/>
              </w:tabs>
              <w:kinsoku/>
              <w:wordWrap/>
              <w:overflowPunct w:val="0"/>
              <w:topLinePunct w:val="0"/>
              <w:autoSpaceDE/>
              <w:autoSpaceDN/>
              <w:bidi w:val="0"/>
              <w:adjustRightInd/>
              <w:snapToGrid/>
              <w:spacing w:before="313" w:beforeLines="100"/>
              <w:ind w:leftChars="0"/>
              <w:jc w:val="left"/>
              <w:textAlignment w:val="auto"/>
              <w:rPr>
                <w:rFonts w:hint="default" w:ascii="仿宋_GB2312" w:hAnsi="仿宋_GB2312" w:cs="仿宋_GB2312"/>
                <w:b w:val="0"/>
                <w:bCs w:val="0"/>
                <w:kern w:val="2"/>
                <w:sz w:val="28"/>
                <w:szCs w:val="28"/>
                <w:vertAlign w:val="baseline"/>
                <w:lang w:val="en-US" w:eastAsia="zh-CN" w:bidi="ar-SA"/>
              </w:rPr>
            </w:pPr>
            <w:r>
              <w:rPr>
                <w:rFonts w:hint="default" w:ascii="仿宋_GB2312" w:hAnsi="仿宋_GB2312" w:cs="仿宋_GB2312"/>
                <w:b w:val="0"/>
                <w:bCs w:val="0"/>
                <w:kern w:val="2"/>
                <w:sz w:val="28"/>
                <w:szCs w:val="28"/>
                <w:vertAlign w:val="baseline"/>
                <w:lang w:val="en-US" w:eastAsia="zh-CN" w:bidi="ar-SA"/>
              </w:rPr>
              <w:drawing>
                <wp:anchor distT="0" distB="0" distL="114300" distR="114300" simplePos="0" relativeHeight="251662336" behindDoc="1" locked="0" layoutInCell="1" allowOverlap="1">
                  <wp:simplePos x="0" y="0"/>
                  <wp:positionH relativeFrom="column">
                    <wp:posOffset>327025</wp:posOffset>
                  </wp:positionH>
                  <wp:positionV relativeFrom="paragraph">
                    <wp:posOffset>-1153160</wp:posOffset>
                  </wp:positionV>
                  <wp:extent cx="1901825" cy="2678430"/>
                  <wp:effectExtent l="0" t="0" r="1270" b="3175"/>
                  <wp:wrapTight wrapText="bothSides">
                    <wp:wrapPolygon>
                      <wp:start x="21600" y="5"/>
                      <wp:lineTo x="108" y="5"/>
                      <wp:lineTo x="108" y="21513"/>
                      <wp:lineTo x="21600" y="21513"/>
                      <wp:lineTo x="21600" y="5"/>
                    </wp:wrapPolygon>
                  </wp:wrapTight>
                  <wp:docPr id="4" name="图片 4" descr="da0579d0ca8eb09402dd5a8755bc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a0579d0ca8eb09402dd5a8755bc086"/>
                          <pic:cNvPicPr>
                            <a:picLocks noChangeAspect="1"/>
                          </pic:cNvPicPr>
                        </pic:nvPicPr>
                        <pic:blipFill>
                          <a:blip r:embed="rId14"/>
                          <a:stretch>
                            <a:fillRect/>
                          </a:stretch>
                        </pic:blipFill>
                        <pic:spPr>
                          <a:xfrm rot="16200000">
                            <a:off x="0" y="0"/>
                            <a:ext cx="1901825" cy="2678430"/>
                          </a:xfrm>
                          <a:prstGeom prst="rect">
                            <a:avLst/>
                          </a:prstGeom>
                        </pic:spPr>
                      </pic:pic>
                    </a:graphicData>
                  </a:graphic>
                </wp:anchor>
              </w:drawing>
            </w:r>
          </w:p>
        </w:tc>
      </w:tr>
    </w:tbl>
    <w:p>
      <w:pPr>
        <w:keepNext w:val="0"/>
        <w:keepLines w:val="0"/>
        <w:pageBreakBefore w:val="0"/>
        <w:widowControl/>
        <w:tabs>
          <w:tab w:val="left" w:pos="241"/>
        </w:tabs>
        <w:kinsoku/>
        <w:wordWrap/>
        <w:overflowPunct w:val="0"/>
        <w:topLinePunct w:val="0"/>
        <w:autoSpaceDE/>
        <w:autoSpaceDN/>
        <w:bidi w:val="0"/>
        <w:adjustRightInd/>
        <w:snapToGrid/>
        <w:spacing w:before="313" w:beforeLines="100"/>
        <w:ind w:left="0" w:leftChars="0" w:firstLine="560" w:firstLineChars="200"/>
        <w:jc w:val="left"/>
        <w:textAlignment w:val="auto"/>
        <w:outlineLvl w:val="1"/>
        <w:rPr>
          <w:rFonts w:hint="default" w:ascii="楷体_GB2312" w:hAnsi="楷体_GB2312" w:eastAsia="楷体_GB2312" w:cs="楷体_GB2312"/>
          <w:b w:val="0"/>
          <w:bCs w:val="0"/>
          <w:kern w:val="2"/>
          <w:sz w:val="28"/>
          <w:szCs w:val="24"/>
          <w:lang w:val="en-US" w:eastAsia="zh-CN" w:bidi="ar-SA"/>
        </w:rPr>
      </w:pPr>
      <w:bookmarkStart w:id="134" w:name="_Toc3035"/>
      <w:bookmarkStart w:id="135" w:name="_Toc5523"/>
      <w:bookmarkStart w:id="136" w:name="_Toc14152"/>
      <w:bookmarkStart w:id="137" w:name="_Toc29584"/>
      <w:bookmarkStart w:id="138" w:name="_Toc3140"/>
      <w:bookmarkStart w:id="139" w:name="_Toc22032"/>
      <w:bookmarkStart w:id="140" w:name="_Toc31385_WPSOffice_Level2"/>
      <w:r>
        <w:rPr>
          <w:rFonts w:hint="eastAsia" w:ascii="楷体_GB2312" w:hAnsi="楷体_GB2312" w:eastAsia="楷体_GB2312" w:cs="楷体_GB2312"/>
          <w:b w:val="0"/>
          <w:bCs w:val="0"/>
          <w:kern w:val="2"/>
          <w:sz w:val="28"/>
          <w:szCs w:val="24"/>
          <w:lang w:val="en-US" w:eastAsia="zh-CN" w:bidi="ar-SA"/>
        </w:rPr>
        <w:t>（二）以工代赈灾毁水毁护村护地坝存在问题</w:t>
      </w:r>
      <w:bookmarkEnd w:id="134"/>
      <w:bookmarkEnd w:id="135"/>
      <w:bookmarkEnd w:id="136"/>
      <w:bookmarkEnd w:id="137"/>
      <w:bookmarkEnd w:id="138"/>
      <w:bookmarkEnd w:id="139"/>
      <w:bookmarkEnd w:id="140"/>
    </w:p>
    <w:p>
      <w:pPr>
        <w:keepNext w:val="0"/>
        <w:keepLines w:val="0"/>
        <w:pageBreakBefore w:val="0"/>
        <w:widowControl/>
        <w:tabs>
          <w:tab w:val="left" w:pos="241"/>
        </w:tabs>
        <w:kinsoku/>
        <w:wordWrap/>
        <w:overflowPunct w:val="0"/>
        <w:topLinePunct w:val="0"/>
        <w:autoSpaceDE/>
        <w:autoSpaceDN/>
        <w:bidi w:val="0"/>
        <w:adjustRightInd/>
        <w:snapToGrid/>
        <w:ind w:left="0" w:leftChars="0" w:firstLine="562" w:firstLineChars="200"/>
        <w:jc w:val="left"/>
        <w:textAlignment w:val="auto"/>
        <w:outlineLvl w:val="2"/>
        <w:rPr>
          <w:rFonts w:hint="default" w:ascii="仿宋_GB2312" w:hAnsi="仿宋_GB2312" w:eastAsia="仿宋_GB2312" w:cs="仿宋_GB2312"/>
          <w:b/>
          <w:bCs/>
          <w:kern w:val="2"/>
          <w:sz w:val="28"/>
          <w:szCs w:val="28"/>
          <w:lang w:val="en-US" w:eastAsia="zh-CN" w:bidi="ar-SA"/>
        </w:rPr>
      </w:pPr>
      <w:bookmarkStart w:id="141" w:name="_Toc28088_WPSOffice_Level3"/>
      <w:bookmarkStart w:id="142" w:name="_Toc16612_WPSOffice_Level3"/>
      <w:r>
        <w:rPr>
          <w:rFonts w:hint="eastAsia" w:ascii="仿宋_GB2312" w:hAnsi="仿宋_GB2312" w:eastAsia="仿宋_GB2312" w:cs="仿宋_GB2312"/>
          <w:b/>
          <w:bCs/>
          <w:kern w:val="2"/>
          <w:sz w:val="28"/>
          <w:szCs w:val="28"/>
          <w:lang w:val="en-US" w:eastAsia="zh-CN" w:bidi="ar-SA"/>
        </w:rPr>
        <w:t>1.部分河道堆放杂物，影响河道泄洪能力</w:t>
      </w:r>
      <w:bookmarkEnd w:id="141"/>
      <w:bookmarkEnd w:id="142"/>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eastAsia" w:ascii="仿宋_GB2312" w:hAnsi="仿宋_GB2312" w:cs="仿宋_GB2312"/>
          <w:b w:val="0"/>
          <w:bCs w:val="0"/>
          <w:kern w:val="2"/>
          <w:sz w:val="28"/>
          <w:szCs w:val="28"/>
          <w:lang w:val="en-US" w:eastAsia="zh-CN" w:bidi="ar-SA"/>
        </w:rPr>
      </w:pPr>
      <w:r>
        <w:rPr>
          <w:rFonts w:hint="eastAsia" w:ascii="仿宋_GB2312" w:hAnsi="仿宋_GB2312" w:cs="仿宋_GB2312"/>
          <w:b w:val="0"/>
          <w:bCs w:val="0"/>
          <w:kern w:val="2"/>
          <w:sz w:val="28"/>
          <w:szCs w:val="28"/>
          <w:lang w:val="en-US" w:eastAsia="zh-CN" w:bidi="ar-SA"/>
        </w:rPr>
        <w:t>通过对项目现场</w:t>
      </w:r>
      <w:r>
        <w:rPr>
          <w:rFonts w:hint="eastAsia" w:ascii="仿宋_GB2312" w:hAnsi="仿宋_GB2312" w:cs="仿宋_GB2312"/>
          <w:b w:val="0"/>
          <w:bCs w:val="0"/>
          <w:kern w:val="2"/>
          <w:sz w:val="28"/>
          <w:szCs w:val="28"/>
          <w:highlight w:val="none"/>
          <w:lang w:val="en-US" w:eastAsia="zh-CN" w:bidi="ar-SA"/>
        </w:rPr>
        <w:t>查看</w:t>
      </w:r>
      <w:r>
        <w:rPr>
          <w:rFonts w:hint="eastAsia" w:ascii="仿宋_GB2312" w:hAnsi="仿宋_GB2312" w:cs="仿宋_GB2312"/>
          <w:b w:val="0"/>
          <w:bCs w:val="0"/>
          <w:kern w:val="2"/>
          <w:sz w:val="28"/>
          <w:szCs w:val="28"/>
          <w:lang w:val="en-US" w:eastAsia="zh-CN" w:bidi="ar-SA"/>
        </w:rPr>
        <w:t>，在南岔村、东寺村护村护地坝河道内存在生活垃圾等杂物堆放的情况，若突发较大山洪，堆放的杂物可能随着洪流冲刷影响其他地区生态环境。</w:t>
      </w:r>
    </w:p>
    <w:tbl>
      <w:tblPr>
        <w:tblStyle w:val="17"/>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2"/>
        <w:gridCol w:w="4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2" w:type="dxa"/>
            <w:vAlign w:val="top"/>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南岔村护坝河道现状</w:t>
            </w:r>
          </w:p>
        </w:tc>
        <w:tc>
          <w:tcPr>
            <w:tcW w:w="4358" w:type="dxa"/>
            <w:vAlign w:val="top"/>
          </w:tcPr>
          <w:p>
            <w:pPr>
              <w:keepNext w:val="0"/>
              <w:keepLines w:val="0"/>
              <w:pageBreakBefore w:val="0"/>
              <w:widowControl/>
              <w:tabs>
                <w:tab w:val="left" w:pos="241"/>
              </w:tabs>
              <w:kinsoku/>
              <w:wordWrap/>
              <w:overflowPunct w:val="0"/>
              <w:topLinePunct w:val="0"/>
              <w:autoSpaceDE/>
              <w:autoSpaceDN/>
              <w:bidi w:val="0"/>
              <w:adjustRightInd/>
              <w:snapToGrid/>
              <w:spacing w:line="240" w:lineRule="auto"/>
              <w:ind w:left="0" w:leftChars="0" w:firstLine="0" w:firstLineChars="0"/>
              <w:jc w:val="center"/>
              <w:textAlignment w:val="auto"/>
              <w:outlineLvl w:val="9"/>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东寺村护坝河道现状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4572" w:type="dxa"/>
            <w:vAlign w:val="top"/>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outlineLvl w:val="9"/>
              <w:rPr>
                <w:rFonts w:hint="default" w:ascii="仿宋_GB2312" w:hAnsi="仿宋_GB2312" w:eastAsia="仿宋_GB2312" w:cs="仿宋_GB2312"/>
                <w:b w:val="0"/>
                <w:bCs w:val="0"/>
                <w:kern w:val="2"/>
                <w:sz w:val="28"/>
                <w:szCs w:val="28"/>
                <w:vertAlign w:val="baseline"/>
                <w:lang w:val="en-US" w:eastAsia="zh-CN" w:bidi="ar-SA"/>
              </w:rPr>
            </w:pPr>
            <w:r>
              <w:rPr>
                <w:rFonts w:hint="default" w:ascii="仿宋_GB2312" w:hAnsi="仿宋_GB2312" w:eastAsia="仿宋_GB2312" w:cs="仿宋_GB2312"/>
                <w:b w:val="0"/>
                <w:bCs w:val="0"/>
                <w:kern w:val="2"/>
                <w:sz w:val="28"/>
                <w:szCs w:val="28"/>
                <w:vertAlign w:val="baseline"/>
                <w:lang w:val="en-US" w:eastAsia="zh-CN" w:bidi="ar-SA"/>
              </w:rPr>
              <w:drawing>
                <wp:anchor distT="0" distB="0" distL="114300" distR="114300" simplePos="0" relativeHeight="251663360" behindDoc="1" locked="0" layoutInCell="1" allowOverlap="1">
                  <wp:simplePos x="0" y="0"/>
                  <wp:positionH relativeFrom="column">
                    <wp:posOffset>398780</wp:posOffset>
                  </wp:positionH>
                  <wp:positionV relativeFrom="paragraph">
                    <wp:posOffset>-473075</wp:posOffset>
                  </wp:positionV>
                  <wp:extent cx="1972310" cy="2906395"/>
                  <wp:effectExtent l="0" t="0" r="1905" b="8890"/>
                  <wp:wrapTight wrapText="bothSides">
                    <wp:wrapPolygon>
                      <wp:start x="21600" y="5"/>
                      <wp:lineTo x="181" y="5"/>
                      <wp:lineTo x="181" y="21524"/>
                      <wp:lineTo x="21600" y="21524"/>
                      <wp:lineTo x="21600" y="5"/>
                    </wp:wrapPolygon>
                  </wp:wrapTight>
                  <wp:docPr id="6" name="图片 6" descr="1adfe4161ee4bfc4a087d068c21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adfe4161ee4bfc4a087d068c218107"/>
                          <pic:cNvPicPr>
                            <a:picLocks noChangeAspect="1"/>
                          </pic:cNvPicPr>
                        </pic:nvPicPr>
                        <pic:blipFill>
                          <a:blip r:embed="rId15"/>
                          <a:srcRect l="22966" t="-1153" b="16016"/>
                          <a:stretch>
                            <a:fillRect/>
                          </a:stretch>
                        </pic:blipFill>
                        <pic:spPr>
                          <a:xfrm rot="16200000">
                            <a:off x="0" y="0"/>
                            <a:ext cx="1972310" cy="2906395"/>
                          </a:xfrm>
                          <a:prstGeom prst="rect">
                            <a:avLst/>
                          </a:prstGeom>
                        </pic:spPr>
                      </pic:pic>
                    </a:graphicData>
                  </a:graphic>
                </wp:anchor>
              </w:drawing>
            </w:r>
          </w:p>
        </w:tc>
        <w:tc>
          <w:tcPr>
            <w:tcW w:w="4358" w:type="dxa"/>
            <w:vAlign w:val="top"/>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outlineLvl w:val="9"/>
              <w:rPr>
                <w:rFonts w:hint="default" w:ascii="仿宋_GB2312" w:hAnsi="仿宋_GB2312" w:eastAsia="仿宋_GB2312" w:cs="仿宋_GB2312"/>
                <w:b w:val="0"/>
                <w:bCs w:val="0"/>
                <w:kern w:val="2"/>
                <w:sz w:val="28"/>
                <w:szCs w:val="28"/>
                <w:vertAlign w:val="baseline"/>
                <w:lang w:val="en-US" w:eastAsia="zh-CN" w:bidi="ar-SA"/>
              </w:rPr>
            </w:pPr>
            <w:r>
              <w:rPr>
                <w:rFonts w:hint="default" w:ascii="仿宋_GB2312" w:hAnsi="仿宋_GB2312" w:eastAsia="仿宋_GB2312" w:cs="仿宋_GB2312"/>
                <w:b w:val="0"/>
                <w:bCs w:val="0"/>
                <w:kern w:val="2"/>
                <w:sz w:val="28"/>
                <w:szCs w:val="28"/>
                <w:vertAlign w:val="baseline"/>
                <w:lang w:val="en-US" w:eastAsia="zh-CN" w:bidi="ar-SA"/>
              </w:rPr>
              <w:drawing>
                <wp:anchor distT="0" distB="0" distL="114300" distR="114300" simplePos="0" relativeHeight="251665408" behindDoc="1" locked="0" layoutInCell="1" allowOverlap="1">
                  <wp:simplePos x="0" y="0"/>
                  <wp:positionH relativeFrom="column">
                    <wp:posOffset>339090</wp:posOffset>
                  </wp:positionH>
                  <wp:positionV relativeFrom="paragraph">
                    <wp:posOffset>-400050</wp:posOffset>
                  </wp:positionV>
                  <wp:extent cx="1942465" cy="2757170"/>
                  <wp:effectExtent l="0" t="0" r="11430" b="635"/>
                  <wp:wrapTight wrapText="bothSides">
                    <wp:wrapPolygon>
                      <wp:start x="21600" y="5"/>
                      <wp:lineTo x="134" y="5"/>
                      <wp:lineTo x="134" y="21496"/>
                      <wp:lineTo x="21600" y="21496"/>
                      <wp:lineTo x="21600" y="5"/>
                    </wp:wrapPolygon>
                  </wp:wrapTight>
                  <wp:docPr id="7" name="图片 7" descr="e9eff66666175458c9bf15e181e7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9eff66666175458c9bf15e181e7f4b"/>
                          <pic:cNvPicPr>
                            <a:picLocks noChangeAspect="1"/>
                          </pic:cNvPicPr>
                        </pic:nvPicPr>
                        <pic:blipFill>
                          <a:blip r:embed="rId16"/>
                          <a:srcRect l="24132" b="19234"/>
                          <a:stretch>
                            <a:fillRect/>
                          </a:stretch>
                        </pic:blipFill>
                        <pic:spPr>
                          <a:xfrm rot="16200000">
                            <a:off x="0" y="0"/>
                            <a:ext cx="1942465" cy="27571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8" w:hRule="exact"/>
          <w:jc w:val="center"/>
        </w:trPr>
        <w:tc>
          <w:tcPr>
            <w:tcW w:w="4572" w:type="dxa"/>
            <w:vAlign w:val="top"/>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outlineLvl w:val="9"/>
              <w:rPr>
                <w:rFonts w:hint="default" w:ascii="仿宋_GB2312" w:hAnsi="仿宋_GB2312" w:eastAsia="仿宋_GB2312" w:cs="仿宋_GB2312"/>
                <w:b w:val="0"/>
                <w:bCs w:val="0"/>
                <w:kern w:val="2"/>
                <w:sz w:val="28"/>
                <w:szCs w:val="28"/>
                <w:vertAlign w:val="baseline"/>
                <w:lang w:val="en-US" w:eastAsia="zh-CN" w:bidi="ar-SA"/>
              </w:rPr>
            </w:pPr>
            <w:r>
              <w:rPr>
                <w:rFonts w:hint="default" w:ascii="仿宋_GB2312" w:hAnsi="仿宋_GB2312" w:eastAsia="仿宋_GB2312" w:cs="仿宋_GB2312"/>
                <w:b w:val="0"/>
                <w:bCs w:val="0"/>
                <w:kern w:val="2"/>
                <w:sz w:val="28"/>
                <w:szCs w:val="28"/>
                <w:vertAlign w:val="baseline"/>
                <w:lang w:val="en-US" w:eastAsia="zh-CN" w:bidi="ar-SA"/>
              </w:rPr>
              <w:drawing>
                <wp:anchor distT="0" distB="0" distL="114300" distR="114300" simplePos="0" relativeHeight="251664384" behindDoc="1" locked="0" layoutInCell="1" allowOverlap="1">
                  <wp:simplePos x="0" y="0"/>
                  <wp:positionH relativeFrom="column">
                    <wp:posOffset>366395</wp:posOffset>
                  </wp:positionH>
                  <wp:positionV relativeFrom="paragraph">
                    <wp:posOffset>-417830</wp:posOffset>
                  </wp:positionV>
                  <wp:extent cx="2008505" cy="2879090"/>
                  <wp:effectExtent l="0" t="0" r="3810" b="10795"/>
                  <wp:wrapTight wrapText="bothSides">
                    <wp:wrapPolygon>
                      <wp:start x="21600" y="5"/>
                      <wp:lineTo x="157" y="5"/>
                      <wp:lineTo x="157" y="21538"/>
                      <wp:lineTo x="21600" y="21538"/>
                      <wp:lineTo x="21600" y="5"/>
                    </wp:wrapPolygon>
                  </wp:wrapTight>
                  <wp:docPr id="8" name="图片 8" descr="061bea715b45e7206fc14a4e26ad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1bea715b45e7206fc14a4e26adf45"/>
                          <pic:cNvPicPr>
                            <a:picLocks noChangeAspect="1"/>
                          </pic:cNvPicPr>
                        </pic:nvPicPr>
                        <pic:blipFill>
                          <a:blip r:embed="rId17"/>
                          <a:srcRect l="-414" r="-382" b="286"/>
                          <a:stretch>
                            <a:fillRect/>
                          </a:stretch>
                        </pic:blipFill>
                        <pic:spPr>
                          <a:xfrm rot="16200000">
                            <a:off x="0" y="0"/>
                            <a:ext cx="2008505" cy="2879090"/>
                          </a:xfrm>
                          <a:prstGeom prst="rect">
                            <a:avLst/>
                          </a:prstGeom>
                        </pic:spPr>
                      </pic:pic>
                    </a:graphicData>
                  </a:graphic>
                </wp:anchor>
              </w:drawing>
            </w:r>
          </w:p>
        </w:tc>
        <w:tc>
          <w:tcPr>
            <w:tcW w:w="4358" w:type="dxa"/>
            <w:vAlign w:val="top"/>
          </w:tcPr>
          <w:p>
            <w:pPr>
              <w:keepNext w:val="0"/>
              <w:keepLines w:val="0"/>
              <w:pageBreakBefore w:val="0"/>
              <w:widowControl/>
              <w:tabs>
                <w:tab w:val="left" w:pos="241"/>
              </w:tabs>
              <w:kinsoku/>
              <w:wordWrap/>
              <w:overflowPunct w:val="0"/>
              <w:topLinePunct w:val="0"/>
              <w:autoSpaceDE/>
              <w:autoSpaceDN/>
              <w:bidi w:val="0"/>
              <w:adjustRightInd/>
              <w:snapToGrid/>
              <w:ind w:left="0" w:leftChars="0" w:firstLine="0" w:firstLineChars="0"/>
              <w:jc w:val="left"/>
              <w:textAlignment w:val="auto"/>
              <w:outlineLvl w:val="9"/>
              <w:rPr>
                <w:rFonts w:hint="default" w:ascii="仿宋_GB2312" w:hAnsi="仿宋_GB2312" w:eastAsia="仿宋_GB2312" w:cs="仿宋_GB2312"/>
                <w:b w:val="0"/>
                <w:bCs w:val="0"/>
                <w:kern w:val="2"/>
                <w:sz w:val="28"/>
                <w:szCs w:val="28"/>
                <w:vertAlign w:val="baseline"/>
                <w:lang w:val="en-US" w:eastAsia="zh-CN" w:bidi="ar-SA"/>
              </w:rPr>
            </w:pPr>
            <w:r>
              <w:rPr>
                <w:rFonts w:hint="default" w:ascii="仿宋_GB2312" w:hAnsi="仿宋_GB2312" w:eastAsia="仿宋_GB2312" w:cs="仿宋_GB2312"/>
                <w:b w:val="0"/>
                <w:bCs w:val="0"/>
                <w:kern w:val="2"/>
                <w:sz w:val="28"/>
                <w:szCs w:val="28"/>
                <w:vertAlign w:val="baseline"/>
                <w:lang w:val="en-US" w:eastAsia="zh-CN" w:bidi="ar-SA"/>
              </w:rPr>
              <w:drawing>
                <wp:anchor distT="0" distB="0" distL="114300" distR="114300" simplePos="0" relativeHeight="251666432" behindDoc="1" locked="0" layoutInCell="1" allowOverlap="1">
                  <wp:simplePos x="0" y="0"/>
                  <wp:positionH relativeFrom="column">
                    <wp:posOffset>395605</wp:posOffset>
                  </wp:positionH>
                  <wp:positionV relativeFrom="paragraph">
                    <wp:posOffset>-733425</wp:posOffset>
                  </wp:positionV>
                  <wp:extent cx="2004695" cy="2797810"/>
                  <wp:effectExtent l="0" t="0" r="8890" b="1905"/>
                  <wp:wrapTight wrapText="bothSides">
                    <wp:wrapPolygon>
                      <wp:start x="21600" y="5"/>
                      <wp:lineTo x="116" y="5"/>
                      <wp:lineTo x="116" y="21477"/>
                      <wp:lineTo x="21600" y="21477"/>
                      <wp:lineTo x="21600" y="5"/>
                    </wp:wrapPolygon>
                  </wp:wrapTight>
                  <wp:docPr id="9" name="图片 9" descr="ac30aacf066e77b7162153517b0f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c30aacf066e77b7162153517b0f5f1"/>
                          <pic:cNvPicPr>
                            <a:picLocks noChangeAspect="1"/>
                          </pic:cNvPicPr>
                        </pic:nvPicPr>
                        <pic:blipFill>
                          <a:blip r:embed="rId18"/>
                          <a:srcRect l="-413" b="18043"/>
                          <a:stretch>
                            <a:fillRect/>
                          </a:stretch>
                        </pic:blipFill>
                        <pic:spPr>
                          <a:xfrm rot="16200000">
                            <a:off x="0" y="0"/>
                            <a:ext cx="2004695" cy="2797810"/>
                          </a:xfrm>
                          <a:prstGeom prst="rect">
                            <a:avLst/>
                          </a:prstGeom>
                        </pic:spPr>
                      </pic:pic>
                    </a:graphicData>
                  </a:graphic>
                </wp:anchor>
              </w:drawing>
            </w:r>
          </w:p>
        </w:tc>
      </w:tr>
    </w:tbl>
    <w:p>
      <w:pPr>
        <w:keepNext w:val="0"/>
        <w:keepLines w:val="0"/>
        <w:pageBreakBefore w:val="0"/>
        <w:widowControl/>
        <w:tabs>
          <w:tab w:val="left" w:pos="241"/>
        </w:tabs>
        <w:kinsoku/>
        <w:wordWrap/>
        <w:overflowPunct w:val="0"/>
        <w:topLinePunct w:val="0"/>
        <w:autoSpaceDE/>
        <w:autoSpaceDN/>
        <w:bidi w:val="0"/>
        <w:adjustRightInd/>
        <w:snapToGrid/>
        <w:spacing w:before="313" w:beforeLines="100"/>
        <w:ind w:left="0" w:leftChars="0" w:firstLine="562" w:firstLineChars="200"/>
        <w:jc w:val="left"/>
        <w:textAlignment w:val="auto"/>
        <w:outlineLvl w:val="2"/>
        <w:rPr>
          <w:rFonts w:hint="default" w:ascii="仿宋_GB2312" w:hAnsi="仿宋_GB2312" w:eastAsia="仿宋_GB2312" w:cs="仿宋_GB2312"/>
          <w:b/>
          <w:bCs/>
          <w:kern w:val="2"/>
          <w:sz w:val="28"/>
          <w:szCs w:val="28"/>
          <w:lang w:val="en-US" w:eastAsia="zh-CN" w:bidi="ar-SA"/>
        </w:rPr>
      </w:pPr>
      <w:bookmarkStart w:id="143" w:name="_Toc7223_WPSOffice_Level3"/>
      <w:bookmarkStart w:id="144" w:name="_Toc26974_WPSOffice_Level3"/>
      <w:r>
        <w:rPr>
          <w:rFonts w:hint="eastAsia" w:ascii="仿宋_GB2312" w:hAnsi="仿宋_GB2312" w:eastAsia="仿宋_GB2312" w:cs="仿宋_GB2312"/>
          <w:b/>
          <w:bCs/>
          <w:kern w:val="2"/>
          <w:sz w:val="28"/>
          <w:szCs w:val="28"/>
          <w:lang w:val="en-US" w:eastAsia="zh-CN" w:bidi="ar-SA"/>
        </w:rPr>
        <w:t>2.以工代赈劳务报酬发放管理</w:t>
      </w:r>
      <w:r>
        <w:rPr>
          <w:rFonts w:hint="eastAsia" w:ascii="仿宋_GB2312" w:hAnsi="仿宋_GB2312" w:cs="仿宋_GB2312"/>
          <w:b/>
          <w:bCs/>
          <w:kern w:val="2"/>
          <w:sz w:val="28"/>
          <w:szCs w:val="28"/>
          <w:lang w:val="en-US" w:eastAsia="zh-CN" w:bidi="ar-SA"/>
        </w:rPr>
        <w:t>制度</w:t>
      </w:r>
      <w:r>
        <w:rPr>
          <w:rFonts w:hint="eastAsia" w:ascii="仿宋_GB2312" w:hAnsi="仿宋_GB2312" w:eastAsia="仿宋_GB2312" w:cs="仿宋_GB2312"/>
          <w:b/>
          <w:bCs/>
          <w:kern w:val="2"/>
          <w:sz w:val="28"/>
          <w:szCs w:val="28"/>
          <w:lang w:val="en-US" w:eastAsia="zh-CN" w:bidi="ar-SA"/>
        </w:rPr>
        <w:t>有待健全</w:t>
      </w:r>
      <w:bookmarkEnd w:id="143"/>
      <w:bookmarkEnd w:id="144"/>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default" w:cstheme="minorBidi"/>
          <w:kern w:val="2"/>
          <w:sz w:val="28"/>
          <w:szCs w:val="24"/>
          <w:lang w:val="en-US" w:eastAsia="zh-CN" w:bidi="ar-SA"/>
        </w:rPr>
      </w:pPr>
      <w:r>
        <w:rPr>
          <w:rFonts w:hint="eastAsia" w:ascii="仿宋_GB2312" w:hAnsi="仿宋_GB2312" w:eastAsia="仿宋_GB2312" w:cs="仿宋_GB2312"/>
          <w:kern w:val="2"/>
          <w:sz w:val="28"/>
          <w:szCs w:val="24"/>
          <w:lang w:val="en-US" w:eastAsia="zh-CN" w:bidi="ar-SA"/>
        </w:rPr>
        <w:t>2020年以工代赈灾毁水毁护村护地坝（一期）</w:t>
      </w:r>
      <w:r>
        <w:rPr>
          <w:rFonts w:hint="eastAsia" w:ascii="仿宋_GB2312" w:hAnsi="仿宋_GB2312" w:cs="仿宋_GB2312"/>
          <w:kern w:val="2"/>
          <w:sz w:val="28"/>
          <w:szCs w:val="24"/>
          <w:lang w:val="en-US" w:eastAsia="zh-CN" w:bidi="ar-SA"/>
        </w:rPr>
        <w:t>投入资金294万元，以工代赈劳务报酬44.1</w:t>
      </w:r>
      <w:r>
        <w:rPr>
          <w:rFonts w:hint="eastAsia" w:hAnsi="仿宋_GB2312" w:cs="仿宋_GB2312"/>
          <w:kern w:val="2"/>
          <w:sz w:val="28"/>
          <w:szCs w:val="24"/>
          <w:lang w:val="en-US" w:eastAsia="zh-CN" w:bidi="ar-SA"/>
        </w:rPr>
        <w:t>0</w:t>
      </w:r>
      <w:r>
        <w:rPr>
          <w:rFonts w:hint="eastAsia" w:ascii="仿宋_GB2312" w:hAnsi="仿宋_GB2312" w:cs="仿宋_GB2312"/>
          <w:kern w:val="2"/>
          <w:sz w:val="28"/>
          <w:szCs w:val="24"/>
          <w:lang w:val="en-US" w:eastAsia="zh-CN" w:bidi="ar-SA"/>
        </w:rPr>
        <w:t>万元，通过对水利水保局项目资料核查，仅提供32.80万元</w:t>
      </w:r>
      <w:r>
        <w:rPr>
          <w:rFonts w:hint="eastAsia" w:hAnsi="仿宋_GB2312" w:cs="仿宋_GB2312"/>
          <w:kern w:val="2"/>
          <w:sz w:val="28"/>
          <w:szCs w:val="24"/>
          <w:lang w:val="en-US" w:eastAsia="zh-CN" w:bidi="ar-SA"/>
        </w:rPr>
        <w:t>的财务资料</w:t>
      </w:r>
      <w:r>
        <w:rPr>
          <w:rFonts w:hint="eastAsia" w:ascii="仿宋_GB2312" w:hAnsi="仿宋_GB2312" w:cs="仿宋_GB2312"/>
          <w:kern w:val="2"/>
          <w:sz w:val="28"/>
          <w:szCs w:val="24"/>
          <w:lang w:val="en-US" w:eastAsia="zh-CN" w:bidi="ar-SA"/>
        </w:rPr>
        <w:t>，其中12.30万元有银行回单。对项目建设“以工代赈”带动贫困户未形成制度化的管理，带动贫困户及劳务报酬发放明细未形成系统的汇总管理。</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outlineLvl w:val="1"/>
        <w:rPr>
          <w:rFonts w:hint="eastAsia" w:ascii="楷体_GB2312" w:hAnsi="楷体_GB2312" w:eastAsia="楷体_GB2312" w:cs="楷体_GB2312"/>
          <w:b w:val="0"/>
          <w:bCs w:val="0"/>
          <w:kern w:val="2"/>
          <w:sz w:val="28"/>
          <w:szCs w:val="24"/>
          <w:lang w:val="en-US" w:eastAsia="zh-CN" w:bidi="ar-SA"/>
        </w:rPr>
      </w:pPr>
      <w:bookmarkStart w:id="145" w:name="_Toc26004"/>
      <w:bookmarkStart w:id="146" w:name="_Toc10920"/>
      <w:bookmarkStart w:id="147" w:name="_Toc18551"/>
      <w:bookmarkStart w:id="148" w:name="_Toc13837"/>
      <w:bookmarkStart w:id="149" w:name="_Toc23611_WPSOffice_Level2"/>
      <w:bookmarkStart w:id="150" w:name="_Toc14934"/>
      <w:bookmarkStart w:id="151" w:name="_Toc29329"/>
      <w:r>
        <w:rPr>
          <w:rFonts w:hint="eastAsia" w:ascii="楷体_GB2312" w:hAnsi="楷体_GB2312" w:eastAsia="楷体_GB2312" w:cs="楷体_GB2312"/>
          <w:b w:val="0"/>
          <w:bCs w:val="0"/>
          <w:kern w:val="2"/>
          <w:sz w:val="28"/>
          <w:szCs w:val="24"/>
          <w:lang w:val="en-US" w:eastAsia="zh-CN" w:bidi="ar-SA"/>
        </w:rPr>
        <w:t>（三）农村饮水安全巩固提升及维修养护存在的问题</w:t>
      </w:r>
      <w:bookmarkEnd w:id="145"/>
      <w:bookmarkEnd w:id="146"/>
      <w:bookmarkEnd w:id="147"/>
      <w:bookmarkEnd w:id="148"/>
      <w:bookmarkEnd w:id="149"/>
      <w:bookmarkEnd w:id="150"/>
      <w:bookmarkEnd w:id="151"/>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2" w:firstLineChars="200"/>
        <w:jc w:val="left"/>
        <w:textAlignment w:val="auto"/>
        <w:outlineLvl w:val="2"/>
        <w:rPr>
          <w:rFonts w:hint="eastAsia" w:ascii="仿宋_GB2312" w:hAnsi="仿宋_GB2312" w:cs="仿宋_GB2312"/>
          <w:b/>
          <w:bCs/>
          <w:kern w:val="2"/>
          <w:sz w:val="28"/>
          <w:szCs w:val="28"/>
          <w:lang w:val="en-US" w:eastAsia="zh-CN" w:bidi="ar-SA"/>
        </w:rPr>
      </w:pPr>
      <w:bookmarkStart w:id="152" w:name="_Toc10635_WPSOffice_Level3"/>
      <w:bookmarkStart w:id="153" w:name="_Toc14359_WPSOffice_Level3"/>
      <w:r>
        <w:rPr>
          <w:rFonts w:hint="eastAsia" w:ascii="仿宋_GB2312" w:hAnsi="仿宋_GB2312" w:cs="仿宋_GB2312"/>
          <w:b/>
          <w:bCs/>
          <w:kern w:val="2"/>
          <w:sz w:val="28"/>
          <w:szCs w:val="28"/>
          <w:lang w:val="en-US" w:eastAsia="zh-CN" w:bidi="ar-SA"/>
        </w:rPr>
        <w:t>1.</w:t>
      </w:r>
      <w:r>
        <w:rPr>
          <w:rFonts w:hint="eastAsia" w:ascii="仿宋_GB2312" w:hAnsi="仿宋_GB2312" w:eastAsia="仿宋_GB2312" w:cs="仿宋_GB2312"/>
          <w:b/>
          <w:bCs/>
          <w:kern w:val="2"/>
          <w:sz w:val="28"/>
          <w:szCs w:val="28"/>
          <w:lang w:val="en-US" w:eastAsia="zh-CN" w:bidi="ar-SA"/>
        </w:rPr>
        <w:t>部分</w:t>
      </w:r>
      <w:r>
        <w:rPr>
          <w:rFonts w:hint="eastAsia" w:ascii="仿宋_GB2312" w:hAnsi="仿宋_GB2312" w:cs="仿宋_GB2312"/>
          <w:b/>
          <w:bCs/>
          <w:kern w:val="2"/>
          <w:sz w:val="28"/>
          <w:szCs w:val="28"/>
          <w:lang w:val="en-US" w:eastAsia="zh-CN" w:bidi="ar-SA"/>
        </w:rPr>
        <w:t>农村</w:t>
      </w:r>
      <w:r>
        <w:rPr>
          <w:rFonts w:hint="eastAsia" w:ascii="仿宋_GB2312" w:hAnsi="仿宋_GB2312" w:eastAsia="仿宋_GB2312" w:cs="仿宋_GB2312"/>
          <w:b/>
          <w:bCs/>
          <w:kern w:val="2"/>
          <w:sz w:val="28"/>
          <w:szCs w:val="28"/>
          <w:lang w:val="en-US" w:eastAsia="zh-CN" w:bidi="ar-SA"/>
        </w:rPr>
        <w:t>饮水安全工程后期管理</w:t>
      </w:r>
      <w:r>
        <w:rPr>
          <w:rFonts w:hint="eastAsia" w:ascii="仿宋_GB2312" w:hAnsi="仿宋_GB2312" w:cs="仿宋_GB2312"/>
          <w:b/>
          <w:bCs/>
          <w:kern w:val="2"/>
          <w:sz w:val="28"/>
          <w:szCs w:val="28"/>
          <w:lang w:val="en-US" w:eastAsia="zh-CN" w:bidi="ar-SA"/>
        </w:rPr>
        <w:t>有待加强</w:t>
      </w:r>
      <w:bookmarkEnd w:id="152"/>
      <w:bookmarkEnd w:id="153"/>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rPr>
          <w:rFonts w:hint="default" w:ascii="仿宋_GB2312" w:hAnsi="仿宋_GB2312" w:eastAsia="仿宋_GB2312" w:cs="仿宋_GB2312"/>
          <w:kern w:val="2"/>
          <w:sz w:val="28"/>
          <w:szCs w:val="24"/>
          <w:vertAlign w:val="baseline"/>
          <w:lang w:val="en-US" w:eastAsia="zh-CN" w:bidi="ar-SA"/>
        </w:rPr>
      </w:pPr>
      <w:r>
        <w:rPr>
          <w:rFonts w:hint="eastAsia" w:ascii="仿宋_GB2312" w:hAnsi="仿宋_GB2312" w:eastAsia="仿宋_GB2312" w:cs="仿宋_GB2312"/>
          <w:kern w:val="2"/>
          <w:sz w:val="28"/>
          <w:szCs w:val="24"/>
          <w:lang w:val="en-US" w:eastAsia="zh-CN" w:bidi="ar-SA"/>
        </w:rPr>
        <w:t>通过对各村饮水工程现场</w:t>
      </w:r>
      <w:r>
        <w:rPr>
          <w:rFonts w:hint="eastAsia" w:ascii="仿宋_GB2312" w:hAnsi="仿宋_GB2312" w:eastAsia="仿宋_GB2312" w:cs="仿宋_GB2312"/>
          <w:kern w:val="2"/>
          <w:sz w:val="28"/>
          <w:szCs w:val="24"/>
          <w:highlight w:val="none"/>
          <w:lang w:val="en-US" w:eastAsia="zh-CN" w:bidi="ar-SA"/>
        </w:rPr>
        <w:t>查看</w:t>
      </w:r>
      <w:r>
        <w:rPr>
          <w:rFonts w:hint="eastAsia" w:ascii="仿宋_GB2312" w:hAnsi="仿宋_GB2312" w:eastAsia="仿宋_GB2312" w:cs="仿宋_GB2312"/>
          <w:kern w:val="2"/>
          <w:sz w:val="28"/>
          <w:szCs w:val="24"/>
          <w:lang w:val="en-US" w:eastAsia="zh-CN" w:bidi="ar-SA"/>
        </w:rPr>
        <w:t>，</w:t>
      </w:r>
      <w:r>
        <w:rPr>
          <w:rFonts w:hint="eastAsia" w:ascii="仿宋_GB2312" w:hAnsi="仿宋_GB2312" w:cs="仿宋_GB2312"/>
          <w:kern w:val="2"/>
          <w:sz w:val="28"/>
          <w:szCs w:val="24"/>
          <w:lang w:val="en-US" w:eastAsia="zh-CN" w:bidi="ar-SA"/>
        </w:rPr>
        <w:t>凤凰镇染峪村、阳方口镇三岔村等蓄水池存在杂草生长的现象；余庄乡阳坡上村、涔山乡张家崖等村由于地势等原因，当地村民反映供水点出水少，取水难；由于供水点多为集中供水，村民可自由控制取水设施，存在水资源浪费的现象；部分供水点靠近耕地，当地村民将饮水工程供水用于浇地，不符合相关要求，造成水资源浪费。</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jc w:val="center"/>
        </w:trPr>
        <w:tc>
          <w:tcPr>
            <w:tcW w:w="4261" w:type="dxa"/>
            <w:vAlign w:val="center"/>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rPr>
                <w:rFonts w:hint="default" w:ascii="仿宋_GB2312" w:hAnsi="仿宋_GB2312" w:eastAsia="仿宋_GB2312" w:cs="仿宋_GB2312"/>
                <w:kern w:val="2"/>
                <w:sz w:val="28"/>
                <w:szCs w:val="24"/>
                <w:vertAlign w:val="baseline"/>
                <w:lang w:val="en-US" w:eastAsia="zh-CN" w:bidi="ar-SA"/>
              </w:rPr>
            </w:pPr>
            <w:r>
              <w:rPr>
                <w:rFonts w:hint="default" w:ascii="仿宋_GB2312" w:hAnsi="仿宋_GB2312" w:eastAsia="仿宋_GB2312" w:cs="仿宋_GB2312"/>
                <w:kern w:val="2"/>
                <w:sz w:val="28"/>
                <w:szCs w:val="24"/>
                <w:vertAlign w:val="baseline"/>
                <w:lang w:val="en-US" w:eastAsia="zh-CN" w:bidi="ar-SA"/>
              </w:rPr>
              <w:drawing>
                <wp:anchor distT="0" distB="0" distL="114300" distR="114300" simplePos="0" relativeHeight="251667456" behindDoc="1" locked="0" layoutInCell="1" allowOverlap="1">
                  <wp:simplePos x="0" y="0"/>
                  <wp:positionH relativeFrom="column">
                    <wp:posOffset>782320</wp:posOffset>
                  </wp:positionH>
                  <wp:positionV relativeFrom="paragraph">
                    <wp:posOffset>-419100</wp:posOffset>
                  </wp:positionV>
                  <wp:extent cx="2560320" cy="3413760"/>
                  <wp:effectExtent l="0" t="0" r="2540" b="5080"/>
                  <wp:wrapTight wrapText="bothSides">
                    <wp:wrapPolygon>
                      <wp:start x="21600" y="0"/>
                      <wp:lineTo x="64" y="0"/>
                      <wp:lineTo x="64" y="21536"/>
                      <wp:lineTo x="21600" y="21536"/>
                      <wp:lineTo x="21600" y="0"/>
                    </wp:wrapPolygon>
                  </wp:wrapTight>
                  <wp:docPr id="10" name="图片 10" descr="084fd3c6df4f721006bead35380c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4fd3c6df4f721006bead35380cccf"/>
                          <pic:cNvPicPr>
                            <a:picLocks noChangeAspect="1"/>
                          </pic:cNvPicPr>
                        </pic:nvPicPr>
                        <pic:blipFill>
                          <a:blip r:embed="rId19"/>
                          <a:stretch>
                            <a:fillRect/>
                          </a:stretch>
                        </pic:blipFill>
                        <pic:spPr>
                          <a:xfrm rot="16200000">
                            <a:off x="0" y="0"/>
                            <a:ext cx="2560320" cy="3413760"/>
                          </a:xfrm>
                          <a:prstGeom prst="rect">
                            <a:avLst/>
                          </a:prstGeom>
                        </pic:spPr>
                      </pic:pic>
                    </a:graphicData>
                  </a:graphic>
                </wp:anchor>
              </w:drawing>
            </w:r>
          </w:p>
        </w:tc>
        <w:tc>
          <w:tcPr>
            <w:tcW w:w="4261" w:type="dxa"/>
            <w:vAlign w:val="center"/>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rPr>
                <w:rFonts w:hint="default" w:ascii="仿宋_GB2312" w:hAnsi="仿宋_GB2312" w:eastAsia="仿宋_GB2312" w:cs="仿宋_GB2312"/>
                <w:kern w:val="2"/>
                <w:sz w:val="28"/>
                <w:szCs w:val="24"/>
                <w:vertAlign w:val="baseline"/>
                <w:lang w:val="en-US" w:eastAsia="zh-CN" w:bidi="ar-SA"/>
              </w:rPr>
            </w:pPr>
            <w:r>
              <w:rPr>
                <w:rFonts w:hint="default" w:ascii="仿宋_GB2312" w:hAnsi="仿宋_GB2312" w:eastAsia="仿宋_GB2312" w:cs="仿宋_GB2312"/>
                <w:kern w:val="2"/>
                <w:sz w:val="28"/>
                <w:szCs w:val="24"/>
                <w:vertAlign w:val="baseline"/>
                <w:lang w:val="en-US" w:eastAsia="zh-CN" w:bidi="ar-SA"/>
              </w:rPr>
              <w:drawing>
                <wp:anchor distT="0" distB="0" distL="114300" distR="114300" simplePos="0" relativeHeight="251668480" behindDoc="1" locked="0" layoutInCell="1" allowOverlap="1">
                  <wp:simplePos x="0" y="0"/>
                  <wp:positionH relativeFrom="column">
                    <wp:posOffset>-45085</wp:posOffset>
                  </wp:positionH>
                  <wp:positionV relativeFrom="paragraph">
                    <wp:posOffset>-2540</wp:posOffset>
                  </wp:positionV>
                  <wp:extent cx="2677160" cy="1781810"/>
                  <wp:effectExtent l="0" t="0" r="2540" b="8890"/>
                  <wp:wrapTight wrapText="bothSides">
                    <wp:wrapPolygon>
                      <wp:start x="0" y="0"/>
                      <wp:lineTo x="0" y="21400"/>
                      <wp:lineTo x="21518" y="21400"/>
                      <wp:lineTo x="21518" y="0"/>
                      <wp:lineTo x="0" y="0"/>
                    </wp:wrapPolygon>
                  </wp:wrapTight>
                  <wp:docPr id="11" name="图片 11" descr="af224639d371f7c7c0d4881370cf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f224639d371f7c7c0d4881370cf6c0"/>
                          <pic:cNvPicPr>
                            <a:picLocks noChangeAspect="1"/>
                          </pic:cNvPicPr>
                        </pic:nvPicPr>
                        <pic:blipFill>
                          <a:blip r:embed="rId20"/>
                          <a:stretch>
                            <a:fillRect/>
                          </a:stretch>
                        </pic:blipFill>
                        <pic:spPr>
                          <a:xfrm>
                            <a:off x="0" y="0"/>
                            <a:ext cx="2677160" cy="178181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exact"/>
          <w:jc w:val="center"/>
        </w:trPr>
        <w:tc>
          <w:tcPr>
            <w:tcW w:w="4261" w:type="dxa"/>
            <w:vAlign w:val="center"/>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rPr>
                <w:rFonts w:hint="default" w:ascii="仿宋_GB2312" w:hAnsi="仿宋_GB2312" w:eastAsia="仿宋_GB2312" w:cs="仿宋_GB2312"/>
                <w:kern w:val="2"/>
                <w:sz w:val="28"/>
                <w:szCs w:val="24"/>
                <w:vertAlign w:val="baseline"/>
                <w:lang w:val="en-US" w:eastAsia="zh-CN" w:bidi="ar-SA"/>
              </w:rPr>
            </w:pPr>
            <w:r>
              <w:rPr>
                <w:rFonts w:hint="default" w:ascii="仿宋_GB2312" w:hAnsi="仿宋_GB2312" w:eastAsia="仿宋_GB2312" w:cs="仿宋_GB2312"/>
                <w:kern w:val="2"/>
                <w:sz w:val="28"/>
                <w:szCs w:val="24"/>
                <w:vertAlign w:val="baseline"/>
                <w:lang w:val="en-US" w:eastAsia="zh-CN" w:bidi="ar-SA"/>
              </w:rPr>
              <w:drawing>
                <wp:anchor distT="0" distB="0" distL="114300" distR="114300" simplePos="0" relativeHeight="251669504" behindDoc="1" locked="0" layoutInCell="1" allowOverlap="1">
                  <wp:simplePos x="0" y="0"/>
                  <wp:positionH relativeFrom="column">
                    <wp:posOffset>374015</wp:posOffset>
                  </wp:positionH>
                  <wp:positionV relativeFrom="paragraph">
                    <wp:posOffset>-448945</wp:posOffset>
                  </wp:positionV>
                  <wp:extent cx="1795780" cy="2680970"/>
                  <wp:effectExtent l="0" t="0" r="11430" b="7620"/>
                  <wp:wrapTight wrapText="bothSides">
                    <wp:wrapPolygon>
                      <wp:start x="21600" y="0"/>
                      <wp:lineTo x="214" y="0"/>
                      <wp:lineTo x="214" y="21487"/>
                      <wp:lineTo x="21600" y="21487"/>
                      <wp:lineTo x="21600" y="0"/>
                    </wp:wrapPolygon>
                  </wp:wrapTight>
                  <wp:docPr id="12" name="图片 12" descr="b23b4cdb1b492396d8cd99bd788b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23b4cdb1b492396d8cd99bd788b5cb"/>
                          <pic:cNvPicPr>
                            <a:picLocks noChangeAspect="1"/>
                          </pic:cNvPicPr>
                        </pic:nvPicPr>
                        <pic:blipFill>
                          <a:blip r:embed="rId21"/>
                          <a:stretch>
                            <a:fillRect/>
                          </a:stretch>
                        </pic:blipFill>
                        <pic:spPr>
                          <a:xfrm rot="16200000">
                            <a:off x="0" y="0"/>
                            <a:ext cx="1795780" cy="2680970"/>
                          </a:xfrm>
                          <a:prstGeom prst="rect">
                            <a:avLst/>
                          </a:prstGeom>
                        </pic:spPr>
                      </pic:pic>
                    </a:graphicData>
                  </a:graphic>
                </wp:anchor>
              </w:drawing>
            </w:r>
          </w:p>
        </w:tc>
        <w:tc>
          <w:tcPr>
            <w:tcW w:w="4261" w:type="dxa"/>
            <w:vAlign w:val="center"/>
          </w:tcPr>
          <w:p>
            <w:pPr>
              <w:keepNext w:val="0"/>
              <w:keepLines w:val="0"/>
              <w:pageBreakBefore w:val="0"/>
              <w:widowControl/>
              <w:tabs>
                <w:tab w:val="left" w:pos="241"/>
              </w:tabs>
              <w:kinsoku/>
              <w:wordWrap/>
              <w:overflowPunct w:val="0"/>
              <w:topLinePunct w:val="0"/>
              <w:autoSpaceDE/>
              <w:autoSpaceDN/>
              <w:bidi w:val="0"/>
              <w:adjustRightInd/>
              <w:snapToGrid/>
              <w:ind w:leftChars="0"/>
              <w:jc w:val="left"/>
              <w:textAlignment w:val="auto"/>
              <w:rPr>
                <w:rFonts w:hint="default" w:ascii="仿宋_GB2312" w:hAnsi="仿宋_GB2312" w:eastAsia="仿宋_GB2312" w:cs="仿宋_GB2312"/>
                <w:kern w:val="2"/>
                <w:sz w:val="28"/>
                <w:szCs w:val="24"/>
                <w:vertAlign w:val="baseline"/>
                <w:lang w:val="en-US" w:eastAsia="zh-CN" w:bidi="ar-SA"/>
              </w:rPr>
            </w:pPr>
            <w:r>
              <w:rPr>
                <w:rFonts w:hint="default" w:ascii="仿宋_GB2312" w:hAnsi="仿宋_GB2312" w:eastAsia="仿宋_GB2312" w:cs="仿宋_GB2312"/>
                <w:kern w:val="2"/>
                <w:sz w:val="28"/>
                <w:szCs w:val="24"/>
                <w:vertAlign w:val="baseline"/>
                <w:lang w:val="en-US" w:eastAsia="zh-CN" w:bidi="ar-SA"/>
              </w:rPr>
              <w:drawing>
                <wp:anchor distT="0" distB="0" distL="114300" distR="114300" simplePos="0" relativeHeight="251670528" behindDoc="1" locked="0" layoutInCell="1" allowOverlap="1">
                  <wp:simplePos x="0" y="0"/>
                  <wp:positionH relativeFrom="column">
                    <wp:posOffset>-52705</wp:posOffset>
                  </wp:positionH>
                  <wp:positionV relativeFrom="paragraph">
                    <wp:posOffset>-683895</wp:posOffset>
                  </wp:positionV>
                  <wp:extent cx="2679065" cy="1806575"/>
                  <wp:effectExtent l="0" t="0" r="635" b="9525"/>
                  <wp:wrapTight wrapText="bothSides">
                    <wp:wrapPolygon>
                      <wp:start x="0" y="0"/>
                      <wp:lineTo x="0" y="21410"/>
                      <wp:lineTo x="21503" y="21410"/>
                      <wp:lineTo x="21503" y="0"/>
                      <wp:lineTo x="0" y="0"/>
                    </wp:wrapPolygon>
                  </wp:wrapTight>
                  <wp:docPr id="13" name="图片 13" descr="f9dd5cb1924cf1ebf94078d2782e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9dd5cb1924cf1ebf94078d2782eaa6"/>
                          <pic:cNvPicPr>
                            <a:picLocks noChangeAspect="1"/>
                          </pic:cNvPicPr>
                        </pic:nvPicPr>
                        <pic:blipFill>
                          <a:blip r:embed="rId22"/>
                          <a:stretch>
                            <a:fillRect/>
                          </a:stretch>
                        </pic:blipFill>
                        <pic:spPr>
                          <a:xfrm>
                            <a:off x="0" y="0"/>
                            <a:ext cx="2679065" cy="1806575"/>
                          </a:xfrm>
                          <a:prstGeom prst="rect">
                            <a:avLst/>
                          </a:prstGeom>
                        </pic:spPr>
                      </pic:pic>
                    </a:graphicData>
                  </a:graphic>
                </wp:anchor>
              </w:drawing>
            </w:r>
          </w:p>
        </w:tc>
      </w:tr>
    </w:tbl>
    <w:p>
      <w:pPr>
        <w:pStyle w:val="4"/>
        <w:keepNext w:val="0"/>
        <w:keepLines w:val="0"/>
        <w:pageBreakBefore w:val="0"/>
        <w:wordWrap/>
        <w:topLinePunct w:val="0"/>
        <w:bidi w:val="0"/>
        <w:adjustRightInd/>
        <w:snapToGrid/>
        <w:ind w:firstLine="560"/>
      </w:pPr>
      <w:bookmarkStart w:id="154" w:name="_Toc14972"/>
      <w:r>
        <w:rPr>
          <w:rFonts w:hint="eastAsia"/>
          <w:lang w:val="en-US" w:eastAsia="zh-CN"/>
        </w:rPr>
        <w:t>五</w:t>
      </w:r>
      <w:r>
        <w:rPr>
          <w:rFonts w:hint="eastAsia"/>
        </w:rPr>
        <w:t>、</w:t>
      </w:r>
      <w:r>
        <w:rPr>
          <w:rFonts w:hint="eastAsia"/>
          <w:lang w:val="en-US" w:eastAsia="zh-CN"/>
        </w:rPr>
        <w:t>有关</w:t>
      </w:r>
      <w:r>
        <w:rPr>
          <w:rFonts w:hint="eastAsia"/>
        </w:rPr>
        <w:t>建议</w:t>
      </w:r>
      <w:bookmarkEnd w:id="120"/>
      <w:bookmarkEnd w:id="121"/>
      <w:bookmarkEnd w:id="122"/>
      <w:bookmarkEnd w:id="154"/>
    </w:p>
    <w:p>
      <w:pPr>
        <w:keepNext w:val="0"/>
        <w:keepLines w:val="0"/>
        <w:pageBreakBefore w:val="0"/>
        <w:wordWrap/>
        <w:topLinePunct w:val="0"/>
        <w:bidi w:val="0"/>
        <w:adjustRightInd/>
        <w:snapToGrid/>
        <w:rPr>
          <w:rFonts w:hint="eastAsia"/>
        </w:rPr>
      </w:pPr>
      <w:bookmarkStart w:id="155" w:name="_Toc12616"/>
      <w:r>
        <w:rPr>
          <w:rFonts w:hint="eastAsia"/>
        </w:rPr>
        <w:t>针对上述问题及不足，评价组经过仔细研究，认为在以后的项目实施过程中需从以下几个方面改进：</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outlineLvl w:val="1"/>
        <w:rPr>
          <w:rFonts w:hint="default" w:ascii="楷体_GB2312" w:hAnsi="楷体_GB2312" w:eastAsia="楷体_GB2312" w:cs="楷体_GB2312"/>
          <w:b w:val="0"/>
          <w:bCs w:val="0"/>
          <w:kern w:val="2"/>
          <w:sz w:val="28"/>
          <w:szCs w:val="24"/>
          <w:lang w:val="en-US" w:eastAsia="zh-CN" w:bidi="ar-SA"/>
        </w:rPr>
      </w:pPr>
      <w:bookmarkStart w:id="156" w:name="_Toc25876_WPSOffice_Level2"/>
      <w:bookmarkStart w:id="157" w:name="_Toc31414"/>
      <w:bookmarkStart w:id="158" w:name="_Toc17843"/>
      <w:bookmarkStart w:id="159" w:name="_Toc30420"/>
      <w:bookmarkStart w:id="160" w:name="_Toc28183"/>
      <w:bookmarkStart w:id="161" w:name="_Toc14383"/>
      <w:bookmarkStart w:id="162" w:name="_Toc28314"/>
      <w:r>
        <w:rPr>
          <w:rFonts w:hint="eastAsia" w:ascii="楷体_GB2312" w:hAnsi="楷体_GB2312" w:eastAsia="楷体_GB2312" w:cs="楷体_GB2312"/>
          <w:b w:val="0"/>
          <w:bCs w:val="0"/>
          <w:kern w:val="2"/>
          <w:sz w:val="28"/>
          <w:szCs w:val="24"/>
          <w:lang w:val="en-US" w:eastAsia="zh-CN" w:bidi="ar-SA"/>
        </w:rPr>
        <w:t>（一）恢河流域综合治理与生态修复工程相关建议</w:t>
      </w:r>
      <w:bookmarkEnd w:id="156"/>
      <w:bookmarkEnd w:id="157"/>
      <w:bookmarkEnd w:id="158"/>
      <w:bookmarkEnd w:id="159"/>
      <w:bookmarkEnd w:id="160"/>
      <w:bookmarkEnd w:id="161"/>
      <w:bookmarkEnd w:id="162"/>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default" w:ascii="仿宋_GB2312" w:hAnsi="仿宋_GB2312" w:cs="仿宋_GB2312"/>
          <w:kern w:val="2"/>
          <w:sz w:val="28"/>
          <w:szCs w:val="24"/>
          <w:lang w:val="en-US" w:eastAsia="zh-CN" w:bidi="ar-SA"/>
        </w:rPr>
      </w:pPr>
      <w:bookmarkStart w:id="163" w:name="_Toc28732_WPSOffice_Level2"/>
      <w:bookmarkStart w:id="164" w:name="_Toc16116"/>
      <w:r>
        <w:rPr>
          <w:rFonts w:hint="eastAsia" w:ascii="仿宋_GB2312" w:hAnsi="仿宋_GB2312" w:cs="仿宋_GB2312"/>
          <w:kern w:val="2"/>
          <w:sz w:val="28"/>
          <w:szCs w:val="24"/>
          <w:lang w:val="en-US" w:eastAsia="zh-CN" w:bidi="ar-SA"/>
        </w:rPr>
        <w:t>建议水利水保局与县财政局对接，尽快落实项目资金，拨付工程款，按照合同约定支付进度款，严格按照合同约定执行。同时在成活率低的建设区域组织补植工作，加强经济林、堤防防护林、景观林地区后期管护工作，以提高植物成活率；在已死亡生态毯地区重新设置生态毯，提高水土涵养能力，减少河道两岸水土流失面积，巩固生态堤防产生的生态效益，扩大可持续作用。</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outlineLvl w:val="1"/>
        <w:rPr>
          <w:rFonts w:hint="eastAsia" w:ascii="楷体_GB2312" w:hAnsi="楷体_GB2312" w:eastAsia="楷体_GB2312" w:cs="楷体_GB2312"/>
          <w:b w:val="0"/>
          <w:bCs w:val="0"/>
          <w:kern w:val="2"/>
          <w:sz w:val="28"/>
          <w:szCs w:val="24"/>
          <w:lang w:val="en-US" w:eastAsia="zh-CN" w:bidi="ar-SA"/>
        </w:rPr>
      </w:pPr>
      <w:bookmarkStart w:id="165" w:name="_Toc1825"/>
      <w:bookmarkStart w:id="166" w:name="_Toc27633"/>
      <w:bookmarkStart w:id="167" w:name="_Toc14556"/>
      <w:bookmarkStart w:id="168" w:name="_Toc23382"/>
      <w:bookmarkStart w:id="169" w:name="_Toc31067"/>
      <w:r>
        <w:rPr>
          <w:rFonts w:hint="eastAsia" w:ascii="楷体_GB2312" w:hAnsi="楷体_GB2312" w:eastAsia="楷体_GB2312" w:cs="楷体_GB2312"/>
          <w:b w:val="0"/>
          <w:bCs w:val="0"/>
          <w:kern w:val="2"/>
          <w:sz w:val="28"/>
          <w:szCs w:val="24"/>
          <w:lang w:val="en-US" w:eastAsia="zh-CN" w:bidi="ar-SA"/>
        </w:rPr>
        <w:t>（二）以工代赈灾毁水毁护村护地坝相关建议</w:t>
      </w:r>
      <w:bookmarkEnd w:id="163"/>
      <w:bookmarkEnd w:id="164"/>
      <w:bookmarkEnd w:id="165"/>
      <w:bookmarkEnd w:id="166"/>
      <w:bookmarkEnd w:id="167"/>
      <w:bookmarkEnd w:id="168"/>
      <w:bookmarkEnd w:id="169"/>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eastAsia" w:ascii="仿宋_GB2312" w:hAnsi="仿宋_GB2312" w:cs="仿宋_GB2312"/>
          <w:kern w:val="2"/>
          <w:sz w:val="28"/>
          <w:szCs w:val="24"/>
          <w:lang w:val="en-US" w:eastAsia="zh-CN" w:bidi="ar-SA"/>
        </w:rPr>
      </w:pPr>
      <w:bookmarkStart w:id="170" w:name="_Toc4314_WPSOffice_Level2"/>
      <w:bookmarkStart w:id="171" w:name="_Toc31146"/>
      <w:r>
        <w:rPr>
          <w:rFonts w:hint="eastAsia" w:ascii="仿宋_GB2312" w:hAnsi="仿宋_GB2312" w:cs="仿宋_GB2312"/>
          <w:kern w:val="2"/>
          <w:sz w:val="28"/>
          <w:szCs w:val="24"/>
          <w:lang w:val="en-US" w:eastAsia="zh-CN" w:bidi="ar-SA"/>
        </w:rPr>
        <w:t>建议水利水保局组织护坝清淤工作，清理护坝淤积及堆积杂物，巩固河道泄洪能力，加强护地护村坝后期管护工作，在各村护坝周围设置公示牌，禁止向护坝倾倒生活垃圾及其他杂物，可在各村设置公益岗位，优先选择本村贫困户，负责护坝日常管护，增加贫困户劳务收入，最大</w:t>
      </w:r>
      <w:r>
        <w:rPr>
          <w:rFonts w:hint="eastAsia" w:hAnsi="仿宋_GB2312" w:cs="仿宋_GB2312"/>
          <w:kern w:val="2"/>
          <w:sz w:val="28"/>
          <w:szCs w:val="24"/>
          <w:lang w:val="en-US" w:eastAsia="zh-CN" w:bidi="ar-SA"/>
        </w:rPr>
        <w:t>限度</w:t>
      </w:r>
      <w:r>
        <w:rPr>
          <w:rFonts w:hint="eastAsia" w:ascii="仿宋_GB2312" w:hAnsi="仿宋_GB2312" w:cs="仿宋_GB2312"/>
          <w:kern w:val="2"/>
          <w:sz w:val="28"/>
          <w:szCs w:val="24"/>
          <w:lang w:val="en-US" w:eastAsia="zh-CN" w:bidi="ar-SA"/>
        </w:rPr>
        <w:t>发挥以工代赈作用。</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default"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建立健全以工代赈劳务报酬动态管理机制，按月按村统计务工人员劳务报酬收入，建立台账反映以工代赈资金中劳务报酬流向，保管好劳务报酬发放资料，在各村公示发放情况、宣传以工代赈相关政策、以工代赈建设成果、劳务报酬发放情况，接受各村、各界社会公众监督。</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left"/>
        <w:textAlignment w:val="auto"/>
        <w:outlineLvl w:val="1"/>
        <w:rPr>
          <w:rFonts w:hint="default" w:ascii="楷体_GB2312" w:hAnsi="楷体_GB2312" w:eastAsia="楷体_GB2312" w:cs="楷体_GB2312"/>
          <w:b w:val="0"/>
          <w:bCs w:val="0"/>
          <w:kern w:val="2"/>
          <w:sz w:val="28"/>
          <w:szCs w:val="24"/>
          <w:lang w:val="en-US" w:eastAsia="zh-CN" w:bidi="ar-SA"/>
        </w:rPr>
      </w:pPr>
      <w:bookmarkStart w:id="172" w:name="_Toc30703"/>
      <w:bookmarkStart w:id="173" w:name="_Toc17722"/>
      <w:bookmarkStart w:id="174" w:name="_Toc6502"/>
      <w:bookmarkStart w:id="175" w:name="_Toc24230"/>
      <w:bookmarkStart w:id="176" w:name="_Toc17707"/>
      <w:r>
        <w:rPr>
          <w:rFonts w:hint="eastAsia" w:ascii="楷体_GB2312" w:hAnsi="楷体_GB2312" w:eastAsia="楷体_GB2312" w:cs="楷体_GB2312"/>
          <w:b w:val="0"/>
          <w:bCs w:val="0"/>
          <w:kern w:val="2"/>
          <w:sz w:val="28"/>
          <w:szCs w:val="24"/>
          <w:lang w:val="en-US" w:eastAsia="zh-CN" w:bidi="ar-SA"/>
        </w:rPr>
        <w:t>（三）农村饮水安全巩固提升及维修养护</w:t>
      </w:r>
      <w:bookmarkEnd w:id="170"/>
      <w:bookmarkEnd w:id="171"/>
      <w:r>
        <w:rPr>
          <w:rFonts w:hint="eastAsia" w:ascii="楷体_GB2312" w:hAnsi="楷体_GB2312" w:eastAsia="楷体_GB2312" w:cs="楷体_GB2312"/>
          <w:b w:val="0"/>
          <w:bCs w:val="0"/>
          <w:kern w:val="2"/>
          <w:sz w:val="28"/>
          <w:szCs w:val="24"/>
          <w:lang w:val="en-US" w:eastAsia="zh-CN" w:bidi="ar-SA"/>
        </w:rPr>
        <w:t>相关建议</w:t>
      </w:r>
      <w:bookmarkEnd w:id="172"/>
      <w:bookmarkEnd w:id="173"/>
      <w:bookmarkEnd w:id="174"/>
      <w:bookmarkEnd w:id="175"/>
      <w:bookmarkEnd w:id="176"/>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default"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建议在各村设置公益岗位，优先选择本村贫困户，负责饮水工程日常管护，监督本村村民日常取水及用水情况，避免水资源浪费及用于非饮水用途；管理各饮水点日常运行，负责蓄水池、水源地周围环境卫生，保障饮水水质；收集本村各户对供水点意见，按月统计上报水利水保局，满足村民饮水需求。</w:t>
      </w:r>
    </w:p>
    <w:p>
      <w:pPr>
        <w:keepNext w:val="0"/>
        <w:keepLines w:val="0"/>
        <w:pageBreakBefore w:val="0"/>
        <w:widowControl/>
        <w:tabs>
          <w:tab w:val="left" w:pos="241"/>
        </w:tabs>
        <w:kinsoku/>
        <w:wordWrap/>
        <w:overflowPunct w:val="0"/>
        <w:topLinePunct w:val="0"/>
        <w:autoSpaceDE/>
        <w:autoSpaceDN/>
        <w:bidi w:val="0"/>
        <w:adjustRightInd/>
        <w:snapToGrid/>
        <w:ind w:left="0" w:leftChars="0" w:firstLine="560" w:firstLineChars="200"/>
        <w:jc w:val="both"/>
        <w:textAlignment w:val="auto"/>
        <w:outlineLvl w:val="9"/>
        <w:rPr>
          <w:rFonts w:hint="eastAsia"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建议安装入户自来水管，安装入户水表，合理制定水价，避免水资源浪费。深入贯彻“节水优先”的方针，提高农村群众节约用水和水是资源、水是商品、用水缴费的意识，进一步提升工程运行管理水平。</w:t>
      </w:r>
    </w:p>
    <w:p>
      <w:pPr>
        <w:keepNext w:val="0"/>
        <w:keepLines w:val="0"/>
        <w:pageBreakBefore w:val="0"/>
        <w:widowControl/>
        <w:numPr>
          <w:ilvl w:val="0"/>
          <w:numId w:val="0"/>
        </w:numPr>
        <w:tabs>
          <w:tab w:val="left" w:pos="241"/>
        </w:tabs>
        <w:kinsoku/>
        <w:wordWrap/>
        <w:overflowPunct w:val="0"/>
        <w:topLinePunct w:val="0"/>
        <w:autoSpaceDE/>
        <w:autoSpaceDN/>
        <w:bidi w:val="0"/>
        <w:adjustRightInd/>
        <w:snapToGrid/>
        <w:ind w:leftChars="0" w:firstLine="560" w:firstLineChars="200"/>
        <w:jc w:val="both"/>
        <w:textAlignment w:val="auto"/>
        <w:outlineLvl w:val="9"/>
        <w:rPr>
          <w:rFonts w:hint="eastAsia" w:ascii="仿宋_GB2312" w:hAnsi="仿宋_GB2312" w:cs="仿宋_GB2312"/>
          <w:kern w:val="2"/>
          <w:sz w:val="28"/>
          <w:szCs w:val="24"/>
          <w:lang w:val="en-US" w:eastAsia="zh-CN" w:bidi="ar-SA"/>
        </w:rPr>
      </w:pPr>
      <w:r>
        <w:rPr>
          <w:rFonts w:hint="eastAsia" w:ascii="仿宋_GB2312" w:hAnsi="仿宋_GB2312" w:cs="仿宋_GB2312"/>
          <w:kern w:val="2"/>
          <w:sz w:val="28"/>
          <w:szCs w:val="24"/>
          <w:lang w:val="en-US" w:eastAsia="zh-CN" w:bidi="ar-SA"/>
        </w:rPr>
        <w:t>地势高或者出水少的供水点，可以设置公益岗，给各户提供拉水送水服务，减少老年人取水因行动不便引起的风险。按次给拉水送水人员发放劳务报酬。保障村村有工程、户户有水吃，提高本村贫困户工资性收入，巩固脱贫成果。</w:t>
      </w:r>
    </w:p>
    <w:bookmarkEnd w:id="155"/>
    <w:p>
      <w:pPr>
        <w:pStyle w:val="2"/>
        <w:rPr>
          <w:rFonts w:hint="default"/>
          <w:lang w:val="en-US" w:eastAsia="zh-CN"/>
        </w:rPr>
      </w:pPr>
    </w:p>
    <w:sectPr>
      <w:headerReference r:id="rId8" w:type="default"/>
      <w:footerReference r:id="rId9" w:type="default"/>
      <w:pgSz w:w="11906" w:h="16838"/>
      <w:pgMar w:top="1417" w:right="1417" w:bottom="1531" w:left="2041" w:header="851" w:footer="850" w:gutter="0"/>
      <w:pgBorders>
        <w:top w:val="none" w:sz="0" w:space="0"/>
        <w:left w:val="none" w:sz="0" w:space="0"/>
        <w:bottom w:val="none" w:sz="0" w:space="0"/>
        <w:right w:val="none" w:sz="0" w:space="0"/>
      </w:pgBorders>
      <w:pgNumType w:fmt="decimal"/>
      <w:cols w:space="0" w:num="1"/>
      <w:rtlGutter w:val="0"/>
      <w:docGrid w:type="lines" w:linePitch="39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jc w:val="both"/>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-49530</wp:posOffset>
              </wp:positionV>
              <wp:extent cx="596900" cy="2857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690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8"/>
                              <w:szCs w:val="28"/>
                            </w:rPr>
                            <w:id w:val="1629823599"/>
                            <w:docPartObj>
                              <w:docPartGallery w:val="autotext"/>
                            </w:docPartObj>
                          </w:sdtPr>
                          <w:sdtEndPr>
                            <w:rPr>
                              <w:sz w:val="28"/>
                              <w:szCs w:val="28"/>
                            </w:rPr>
                          </w:sdtEndPr>
                          <w:sdtContent>
                            <w:p>
                              <w:pPr>
                                <w:pStyle w:val="10"/>
                                <w:ind w:left="0" w:leftChars="0" w:firstLine="0" w:firstLineChars="0"/>
                                <w:jc w:val="center"/>
                                <w:rPr>
                                  <w:sz w:val="28"/>
                                  <w:szCs w:val="28"/>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46 -</w:t>
                              </w:r>
                              <w:r>
                                <w:rPr>
                                  <w:sz w:val="24"/>
                                  <w:szCs w:val="24"/>
                                </w:rPr>
                                <w:fldChar w:fldCharType="end"/>
                              </w:r>
                            </w:p>
                          </w:sdtContent>
                        </w:sdt>
                        <w:p>
                          <w:pPr>
                            <w:pStyle w:val="10"/>
                            <w:rPr>
                              <w:rFonts w:hint="eastAsia" w:eastAsia="仿宋_GB2312"/>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3.9pt;height:22.5pt;width:47pt;mso-position-horizontal:center;mso-position-horizontal-relative:margin;z-index:251659264;mso-width-relative:page;mso-height-relative:page;" filled="f" stroked="f" coordsize="21600,21600" o:gfxdata="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TwDIdQAAAAFAQAADwAAAAAAAAABACAAAAAiAAAAZHJzL2Rvd25yZXYueG1s&#10;UEsBAhQAFAAAAAgAh07iQGgLEGg1AgAAYQQAAA4AAAAAAAAAAQAgAAAAIwEAAGRycy9lMm9Eb2Mu&#10;eG1sUEsFBgAAAAAGAAYAWQEAAMoFAAAAAA==&#10;">
              <v:fill on="f" focussize="0,0"/>
              <v:stroke on="f" weight="0.5pt"/>
              <v:imagedata o:title=""/>
              <o:lock v:ext="edit" aspectratio="f"/>
              <v:textbox inset="0mm,0mm,0mm,0mm">
                <w:txbxContent>
                  <w:sdt>
                    <w:sdtPr>
                      <w:rPr>
                        <w:sz w:val="28"/>
                        <w:szCs w:val="28"/>
                      </w:rPr>
                      <w:id w:val="1629823599"/>
                      <w:docPartObj>
                        <w:docPartGallery w:val="autotext"/>
                      </w:docPartObj>
                    </w:sdtPr>
                    <w:sdtEndPr>
                      <w:rPr>
                        <w:sz w:val="28"/>
                        <w:szCs w:val="28"/>
                      </w:rPr>
                    </w:sdtEndPr>
                    <w:sdtContent>
                      <w:p>
                        <w:pPr>
                          <w:pStyle w:val="10"/>
                          <w:ind w:left="0" w:leftChars="0" w:firstLine="0" w:firstLineChars="0"/>
                          <w:jc w:val="center"/>
                          <w:rPr>
                            <w:sz w:val="28"/>
                            <w:szCs w:val="28"/>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w:t>
                        </w:r>
                        <w:r>
                          <w:rPr>
                            <w:sz w:val="24"/>
                            <w:szCs w:val="24"/>
                          </w:rPr>
                          <w:t xml:space="preserve"> 46 -</w:t>
                        </w:r>
                        <w:r>
                          <w:rPr>
                            <w:sz w:val="24"/>
                            <w:szCs w:val="24"/>
                          </w:rPr>
                          <w:fldChar w:fldCharType="end"/>
                        </w:r>
                      </w:p>
                    </w:sdtContent>
                  </w:sdt>
                  <w:p>
                    <w:pPr>
                      <w:pStyle w:val="10"/>
                      <w:rPr>
                        <w:rFonts w:hint="eastAsia" w:eastAsia="仿宋_GB2312"/>
                        <w:sz w:val="28"/>
                        <w:szCs w:val="28"/>
                        <w:lang w:eastAsia="zh-CN"/>
                      </w:rPr>
                    </w:pP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single" w:color="000000" w:sz="4" w:space="1"/>
        <w:right w:val="none" w:color="auto" w:sz="0" w:space="0"/>
      </w:pBdr>
      <w:kinsoku/>
      <w:wordWrap/>
      <w:overflowPunct/>
      <w:topLinePunct w:val="0"/>
      <w:autoSpaceDE/>
      <w:autoSpaceDN/>
      <w:bidi w:val="0"/>
      <w:adjustRightInd/>
      <w:snapToGrid w:val="0"/>
      <w:spacing w:line="240" w:lineRule="auto"/>
      <w:ind w:firstLine="0" w:firstLineChars="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8"/>
        <w:szCs w:val="28"/>
      </w:rPr>
      <w:drawing>
        <wp:inline distT="0" distB="0" distL="114300" distR="114300">
          <wp:extent cx="240665" cy="240665"/>
          <wp:effectExtent l="0" t="0" r="317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
                  <a:stretch>
                    <a:fillRect/>
                  </a:stretch>
                </pic:blipFill>
                <pic:spPr>
                  <a:xfrm>
                    <a:off x="0" y="0"/>
                    <a:ext cx="240665" cy="240665"/>
                  </a:xfrm>
                  <a:prstGeom prst="rect">
                    <a:avLst/>
                  </a:prstGeom>
                  <a:noFill/>
                  <a:ln>
                    <a:noFill/>
                  </a:ln>
                </pic:spPr>
              </pic:pic>
            </a:graphicData>
          </a:graphic>
        </wp:inline>
      </w:drawing>
    </w:r>
    <w:r>
      <w:rPr>
        <w:rFonts w:hint="eastAsia" w:asciiTheme="minorEastAsia" w:hAnsiTheme="minorEastAsia" w:eastAsiaTheme="minorEastAsia" w:cstheme="minorEastAsia"/>
        <w:sz w:val="22"/>
        <w:szCs w:val="22"/>
        <w:lang w:val="en-US" w:eastAsia="zh-CN"/>
      </w:rPr>
      <w:t>山西亚泰</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2"/>
        <w:szCs w:val="22"/>
        <w:lang w:val="en-US" w:eastAsia="zh-CN"/>
      </w:rPr>
      <w:t>宁武县水利水保局2020年</w:t>
    </w:r>
    <w:r>
      <w:rPr>
        <w:rFonts w:hint="eastAsia" w:asciiTheme="minorEastAsia" w:hAnsiTheme="minorEastAsia" w:eastAsiaTheme="minorEastAsia" w:cstheme="minorEastAsia"/>
        <w:sz w:val="22"/>
        <w:szCs w:val="22"/>
      </w:rPr>
      <w:t>统筹整合财政资金绩效评价报告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none" w:color="auto" w:sz="0" w:space="1"/>
        <w:right w:val="none" w:color="auto" w:sz="0" w:space="0"/>
      </w:pBdr>
      <w:kinsoku/>
      <w:wordWrap/>
      <w:overflowPunct/>
      <w:topLinePunct w:val="0"/>
      <w:autoSpaceDE/>
      <w:autoSpaceDN/>
      <w:bidi w:val="0"/>
      <w:adjustRightInd/>
      <w:snapToGrid w:val="0"/>
      <w:spacing w:line="240" w:lineRule="auto"/>
      <w:ind w:firstLine="0" w:firstLineChars="0"/>
      <w:jc w:val="center"/>
      <w:textAlignment w:val="auto"/>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none" w:color="auto" w:sz="0" w:space="0"/>
        <w:left w:val="none" w:color="auto" w:sz="0" w:space="0"/>
        <w:bottom w:val="single" w:color="000000" w:sz="4" w:space="1"/>
        <w:right w:val="none" w:color="auto" w:sz="0" w:space="0"/>
      </w:pBdr>
      <w:kinsoku/>
      <w:wordWrap/>
      <w:overflowPunct/>
      <w:topLinePunct w:val="0"/>
      <w:autoSpaceDE/>
      <w:autoSpaceDN/>
      <w:bidi w:val="0"/>
      <w:adjustRightInd/>
      <w:snapToGrid w:val="0"/>
      <w:spacing w:line="240" w:lineRule="auto"/>
      <w:ind w:firstLine="0" w:firstLineChars="0"/>
      <w:jc w:val="left"/>
      <w:textAlignment w:val="auto"/>
      <w:rPr>
        <w:rFonts w:hint="eastAsia" w:asciiTheme="minorEastAsia" w:hAnsiTheme="minorEastAsia" w:eastAsiaTheme="minorEastAsia" w:cstheme="minorEastAsia"/>
        <w:sz w:val="22"/>
        <w:szCs w:val="22"/>
      </w:rPr>
    </w:pPr>
    <w:r>
      <w:rPr>
        <w:rFonts w:hint="eastAsia" w:asciiTheme="minorEastAsia" w:hAnsiTheme="minorEastAsia" w:eastAsiaTheme="minorEastAsia" w:cstheme="minorEastAsia"/>
        <w:sz w:val="28"/>
        <w:szCs w:val="28"/>
      </w:rPr>
      <w:drawing>
        <wp:inline distT="0" distB="0" distL="114300" distR="114300">
          <wp:extent cx="240665" cy="24066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240665" cy="240665"/>
                  </a:xfrm>
                  <a:prstGeom prst="rect">
                    <a:avLst/>
                  </a:prstGeom>
                  <a:noFill/>
                  <a:ln>
                    <a:noFill/>
                  </a:ln>
                </pic:spPr>
              </pic:pic>
            </a:graphicData>
          </a:graphic>
        </wp:inline>
      </w:drawing>
    </w:r>
    <w:r>
      <w:rPr>
        <w:rFonts w:hint="eastAsia" w:asciiTheme="minorEastAsia" w:hAnsiTheme="minorEastAsia" w:eastAsiaTheme="minorEastAsia" w:cstheme="minorEastAsia"/>
        <w:sz w:val="22"/>
        <w:szCs w:val="22"/>
        <w:lang w:val="en-US" w:eastAsia="zh-CN"/>
      </w:rPr>
      <w:t xml:space="preserve">山西亚泰 </w:t>
    </w:r>
    <w:r>
      <w:rPr>
        <w:rFonts w:hint="eastAsia" w:asciiTheme="minorEastAsia" w:hAnsiTheme="minorEastAsia" w:eastAsiaTheme="minorEastAsia" w:cstheme="minorEastAsia"/>
        <w:sz w:val="28"/>
        <w:szCs w:val="28"/>
        <w:lang w:val="en-US" w:eastAsia="zh-CN"/>
      </w:rPr>
      <w:t xml:space="preserve">          </w:t>
    </w:r>
    <w:r>
      <w:rPr>
        <w:rFonts w:hint="eastAsia" w:asciiTheme="minorEastAsia" w:hAnsiTheme="minorEastAsia" w:eastAsiaTheme="minorEastAsia" w:cstheme="minorEastAsia"/>
        <w:sz w:val="22"/>
        <w:szCs w:val="22"/>
        <w:lang w:val="en-US" w:eastAsia="zh-CN"/>
      </w:rPr>
      <w:t>宁武县水利水保局2020年</w:t>
    </w:r>
    <w:r>
      <w:rPr>
        <w:rFonts w:hint="eastAsia" w:asciiTheme="minorEastAsia" w:hAnsiTheme="minorEastAsia" w:eastAsiaTheme="minorEastAsia" w:cstheme="minorEastAsia"/>
        <w:sz w:val="22"/>
        <w:szCs w:val="22"/>
      </w:rPr>
      <w:t>统筹整合财政资金绩效评价报告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dit="readOnly" w:formatting="1" w:enforcement="0"/>
  <w:defaultTabStop w:val="420"/>
  <w:drawingGridVerticalSpacing w:val="198"/>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1YWI2YjM3YmMyM2M2N2Q3ZDhhNjM1NzA1NDMxOGUifQ=="/>
  </w:docVars>
  <w:rsids>
    <w:rsidRoot w:val="2E6A2B84"/>
    <w:rsid w:val="00176312"/>
    <w:rsid w:val="001B7724"/>
    <w:rsid w:val="0030004B"/>
    <w:rsid w:val="00472D2A"/>
    <w:rsid w:val="0055629A"/>
    <w:rsid w:val="0061611D"/>
    <w:rsid w:val="00632EDD"/>
    <w:rsid w:val="00703783"/>
    <w:rsid w:val="00731946"/>
    <w:rsid w:val="00796734"/>
    <w:rsid w:val="0098396F"/>
    <w:rsid w:val="00BE4259"/>
    <w:rsid w:val="00DF4855"/>
    <w:rsid w:val="00F21E95"/>
    <w:rsid w:val="00F87E6E"/>
    <w:rsid w:val="00FC703B"/>
    <w:rsid w:val="01190D16"/>
    <w:rsid w:val="012A68CE"/>
    <w:rsid w:val="012C377D"/>
    <w:rsid w:val="012D61F6"/>
    <w:rsid w:val="01417900"/>
    <w:rsid w:val="014A2125"/>
    <w:rsid w:val="014E582D"/>
    <w:rsid w:val="01512012"/>
    <w:rsid w:val="015C41FC"/>
    <w:rsid w:val="017B23EB"/>
    <w:rsid w:val="01813501"/>
    <w:rsid w:val="01814A63"/>
    <w:rsid w:val="01954DF1"/>
    <w:rsid w:val="01962D44"/>
    <w:rsid w:val="019C4647"/>
    <w:rsid w:val="01A54475"/>
    <w:rsid w:val="01AA3457"/>
    <w:rsid w:val="01BB1915"/>
    <w:rsid w:val="01C0753F"/>
    <w:rsid w:val="01C41231"/>
    <w:rsid w:val="01CF1544"/>
    <w:rsid w:val="01D550C4"/>
    <w:rsid w:val="02166539"/>
    <w:rsid w:val="02332C8C"/>
    <w:rsid w:val="023856A1"/>
    <w:rsid w:val="026008F9"/>
    <w:rsid w:val="026650E0"/>
    <w:rsid w:val="027706F2"/>
    <w:rsid w:val="02945EDE"/>
    <w:rsid w:val="029B3978"/>
    <w:rsid w:val="02BA5EBB"/>
    <w:rsid w:val="02C00F47"/>
    <w:rsid w:val="02F03CED"/>
    <w:rsid w:val="031270FE"/>
    <w:rsid w:val="0332014A"/>
    <w:rsid w:val="0347507A"/>
    <w:rsid w:val="037A36A2"/>
    <w:rsid w:val="03802AE2"/>
    <w:rsid w:val="038A616F"/>
    <w:rsid w:val="039E563C"/>
    <w:rsid w:val="03B15D43"/>
    <w:rsid w:val="03CE4842"/>
    <w:rsid w:val="03D52109"/>
    <w:rsid w:val="03DE4AD2"/>
    <w:rsid w:val="04002BB8"/>
    <w:rsid w:val="04015924"/>
    <w:rsid w:val="040E3802"/>
    <w:rsid w:val="042A20AF"/>
    <w:rsid w:val="043161C6"/>
    <w:rsid w:val="04613DC9"/>
    <w:rsid w:val="04740847"/>
    <w:rsid w:val="04907942"/>
    <w:rsid w:val="04945005"/>
    <w:rsid w:val="04987716"/>
    <w:rsid w:val="04C0122F"/>
    <w:rsid w:val="04D24042"/>
    <w:rsid w:val="04EE089A"/>
    <w:rsid w:val="04F10165"/>
    <w:rsid w:val="050955FB"/>
    <w:rsid w:val="05240A63"/>
    <w:rsid w:val="05277B6F"/>
    <w:rsid w:val="052D1970"/>
    <w:rsid w:val="053F4012"/>
    <w:rsid w:val="05401651"/>
    <w:rsid w:val="054D7B81"/>
    <w:rsid w:val="055D4CF2"/>
    <w:rsid w:val="05661ACA"/>
    <w:rsid w:val="057010E0"/>
    <w:rsid w:val="05741D36"/>
    <w:rsid w:val="058C5E13"/>
    <w:rsid w:val="058E4AD4"/>
    <w:rsid w:val="05A32885"/>
    <w:rsid w:val="05AD015B"/>
    <w:rsid w:val="05C036C8"/>
    <w:rsid w:val="05D47089"/>
    <w:rsid w:val="05D747DA"/>
    <w:rsid w:val="05DD1E65"/>
    <w:rsid w:val="05E53987"/>
    <w:rsid w:val="05E631BE"/>
    <w:rsid w:val="05EF5CB8"/>
    <w:rsid w:val="0600074B"/>
    <w:rsid w:val="06446764"/>
    <w:rsid w:val="065F64C3"/>
    <w:rsid w:val="067A2E29"/>
    <w:rsid w:val="068E7D40"/>
    <w:rsid w:val="069912EF"/>
    <w:rsid w:val="06B93873"/>
    <w:rsid w:val="06BF6E7F"/>
    <w:rsid w:val="06C06DAD"/>
    <w:rsid w:val="06CE330C"/>
    <w:rsid w:val="06ED6387"/>
    <w:rsid w:val="06F91ED3"/>
    <w:rsid w:val="070C2627"/>
    <w:rsid w:val="070E51DB"/>
    <w:rsid w:val="072858C1"/>
    <w:rsid w:val="07310F61"/>
    <w:rsid w:val="073815D7"/>
    <w:rsid w:val="07381F8C"/>
    <w:rsid w:val="0750303E"/>
    <w:rsid w:val="0751073C"/>
    <w:rsid w:val="07521BBC"/>
    <w:rsid w:val="075A287C"/>
    <w:rsid w:val="075C301C"/>
    <w:rsid w:val="075C6CA5"/>
    <w:rsid w:val="077E048B"/>
    <w:rsid w:val="07896D28"/>
    <w:rsid w:val="07B3502F"/>
    <w:rsid w:val="07B42514"/>
    <w:rsid w:val="07B83B3F"/>
    <w:rsid w:val="07F81E54"/>
    <w:rsid w:val="07F95965"/>
    <w:rsid w:val="07FC7E6F"/>
    <w:rsid w:val="080C5D5D"/>
    <w:rsid w:val="0818765E"/>
    <w:rsid w:val="08236CAC"/>
    <w:rsid w:val="08422E17"/>
    <w:rsid w:val="085350B6"/>
    <w:rsid w:val="085F4DED"/>
    <w:rsid w:val="086F5144"/>
    <w:rsid w:val="087B0530"/>
    <w:rsid w:val="088B6920"/>
    <w:rsid w:val="0897054C"/>
    <w:rsid w:val="089A0B21"/>
    <w:rsid w:val="08A22ED9"/>
    <w:rsid w:val="08A47272"/>
    <w:rsid w:val="08B23CD9"/>
    <w:rsid w:val="08B81E44"/>
    <w:rsid w:val="08BA5979"/>
    <w:rsid w:val="08C727E6"/>
    <w:rsid w:val="08D70467"/>
    <w:rsid w:val="08FA50E4"/>
    <w:rsid w:val="08FC4708"/>
    <w:rsid w:val="090315AF"/>
    <w:rsid w:val="090E4F1E"/>
    <w:rsid w:val="0910075F"/>
    <w:rsid w:val="094801BA"/>
    <w:rsid w:val="0950287A"/>
    <w:rsid w:val="095776AC"/>
    <w:rsid w:val="095B623A"/>
    <w:rsid w:val="095F237E"/>
    <w:rsid w:val="096B6AEC"/>
    <w:rsid w:val="0978738B"/>
    <w:rsid w:val="09797816"/>
    <w:rsid w:val="09865286"/>
    <w:rsid w:val="09872575"/>
    <w:rsid w:val="0994186A"/>
    <w:rsid w:val="09BA442F"/>
    <w:rsid w:val="09CC5871"/>
    <w:rsid w:val="09E90ACA"/>
    <w:rsid w:val="0A044BE6"/>
    <w:rsid w:val="0A20218F"/>
    <w:rsid w:val="0A246B7D"/>
    <w:rsid w:val="0A3C275D"/>
    <w:rsid w:val="0A3D6E90"/>
    <w:rsid w:val="0A477208"/>
    <w:rsid w:val="0A640813"/>
    <w:rsid w:val="0A68747B"/>
    <w:rsid w:val="0A6A6F40"/>
    <w:rsid w:val="0A6C01A8"/>
    <w:rsid w:val="0A733D61"/>
    <w:rsid w:val="0A866F77"/>
    <w:rsid w:val="0AA51080"/>
    <w:rsid w:val="0AAD00D4"/>
    <w:rsid w:val="0AB35BCB"/>
    <w:rsid w:val="0AB40F62"/>
    <w:rsid w:val="0AF71F48"/>
    <w:rsid w:val="0AFB137F"/>
    <w:rsid w:val="0B024215"/>
    <w:rsid w:val="0B4400C0"/>
    <w:rsid w:val="0B5B4105"/>
    <w:rsid w:val="0B7E3937"/>
    <w:rsid w:val="0B933FE1"/>
    <w:rsid w:val="0BBB304E"/>
    <w:rsid w:val="0BE43E64"/>
    <w:rsid w:val="0C00473A"/>
    <w:rsid w:val="0C087B18"/>
    <w:rsid w:val="0C1741FF"/>
    <w:rsid w:val="0C227600"/>
    <w:rsid w:val="0C267029"/>
    <w:rsid w:val="0C556BF8"/>
    <w:rsid w:val="0C5C646A"/>
    <w:rsid w:val="0C75769F"/>
    <w:rsid w:val="0C757950"/>
    <w:rsid w:val="0C802B98"/>
    <w:rsid w:val="0C8155B0"/>
    <w:rsid w:val="0C83197D"/>
    <w:rsid w:val="0C8836F5"/>
    <w:rsid w:val="0CA626DC"/>
    <w:rsid w:val="0CA854C5"/>
    <w:rsid w:val="0CD553EA"/>
    <w:rsid w:val="0CF10D7D"/>
    <w:rsid w:val="0D0C4E63"/>
    <w:rsid w:val="0D1349C7"/>
    <w:rsid w:val="0D17158A"/>
    <w:rsid w:val="0D3B2556"/>
    <w:rsid w:val="0D556DA0"/>
    <w:rsid w:val="0D57556A"/>
    <w:rsid w:val="0D79266D"/>
    <w:rsid w:val="0DA32C04"/>
    <w:rsid w:val="0DA538B8"/>
    <w:rsid w:val="0DB01474"/>
    <w:rsid w:val="0DE24A73"/>
    <w:rsid w:val="0E0A4ADE"/>
    <w:rsid w:val="0E191754"/>
    <w:rsid w:val="0E1D01DF"/>
    <w:rsid w:val="0E250E55"/>
    <w:rsid w:val="0E26431E"/>
    <w:rsid w:val="0E495C32"/>
    <w:rsid w:val="0E615AD5"/>
    <w:rsid w:val="0E663987"/>
    <w:rsid w:val="0E686E9F"/>
    <w:rsid w:val="0E6E0668"/>
    <w:rsid w:val="0E846A8F"/>
    <w:rsid w:val="0E920A46"/>
    <w:rsid w:val="0E94510C"/>
    <w:rsid w:val="0E9C63BB"/>
    <w:rsid w:val="0EA13D41"/>
    <w:rsid w:val="0EA428AC"/>
    <w:rsid w:val="0EAF7759"/>
    <w:rsid w:val="0EDB7CF2"/>
    <w:rsid w:val="0EDD522B"/>
    <w:rsid w:val="0EEE5C48"/>
    <w:rsid w:val="0EF53BE5"/>
    <w:rsid w:val="0F28659E"/>
    <w:rsid w:val="0F2C7436"/>
    <w:rsid w:val="0F304829"/>
    <w:rsid w:val="0F3C0B39"/>
    <w:rsid w:val="0F3E4E76"/>
    <w:rsid w:val="0F5016AA"/>
    <w:rsid w:val="0F673D5A"/>
    <w:rsid w:val="0F6A70B0"/>
    <w:rsid w:val="0F7F0A79"/>
    <w:rsid w:val="0F7F2A3C"/>
    <w:rsid w:val="0F8C03C3"/>
    <w:rsid w:val="0F943345"/>
    <w:rsid w:val="0FA57C69"/>
    <w:rsid w:val="0FA85E0B"/>
    <w:rsid w:val="0FAD68D5"/>
    <w:rsid w:val="0FB63405"/>
    <w:rsid w:val="0FC4439F"/>
    <w:rsid w:val="0FE010C6"/>
    <w:rsid w:val="0FE82461"/>
    <w:rsid w:val="10010C75"/>
    <w:rsid w:val="101E30EF"/>
    <w:rsid w:val="10243E20"/>
    <w:rsid w:val="102E5AE6"/>
    <w:rsid w:val="104B1077"/>
    <w:rsid w:val="10552DD4"/>
    <w:rsid w:val="10765F68"/>
    <w:rsid w:val="107F483C"/>
    <w:rsid w:val="107F4B7D"/>
    <w:rsid w:val="10A81F8F"/>
    <w:rsid w:val="10AB2990"/>
    <w:rsid w:val="10AE12E8"/>
    <w:rsid w:val="10C03926"/>
    <w:rsid w:val="10C5479C"/>
    <w:rsid w:val="10D83CA9"/>
    <w:rsid w:val="10E10017"/>
    <w:rsid w:val="10E92BFE"/>
    <w:rsid w:val="110117D3"/>
    <w:rsid w:val="110372DA"/>
    <w:rsid w:val="110E6E55"/>
    <w:rsid w:val="111117B0"/>
    <w:rsid w:val="11212CCD"/>
    <w:rsid w:val="112D42AF"/>
    <w:rsid w:val="116847DF"/>
    <w:rsid w:val="11763C2F"/>
    <w:rsid w:val="11856E08"/>
    <w:rsid w:val="11883546"/>
    <w:rsid w:val="11887CF3"/>
    <w:rsid w:val="11C62C20"/>
    <w:rsid w:val="11DA73A5"/>
    <w:rsid w:val="11FD772C"/>
    <w:rsid w:val="12197AA4"/>
    <w:rsid w:val="12225E08"/>
    <w:rsid w:val="12233701"/>
    <w:rsid w:val="1227443E"/>
    <w:rsid w:val="12311F00"/>
    <w:rsid w:val="12406622"/>
    <w:rsid w:val="124124B8"/>
    <w:rsid w:val="124845A6"/>
    <w:rsid w:val="12572040"/>
    <w:rsid w:val="12611770"/>
    <w:rsid w:val="12614AD4"/>
    <w:rsid w:val="12636198"/>
    <w:rsid w:val="127575E5"/>
    <w:rsid w:val="127C615D"/>
    <w:rsid w:val="127F414B"/>
    <w:rsid w:val="12945858"/>
    <w:rsid w:val="12966E37"/>
    <w:rsid w:val="12BE7095"/>
    <w:rsid w:val="12BE79F0"/>
    <w:rsid w:val="12C01A52"/>
    <w:rsid w:val="12CD1645"/>
    <w:rsid w:val="12D17CB8"/>
    <w:rsid w:val="12F24D47"/>
    <w:rsid w:val="12F4372B"/>
    <w:rsid w:val="13112132"/>
    <w:rsid w:val="133A4A0C"/>
    <w:rsid w:val="133D4503"/>
    <w:rsid w:val="134B5AF7"/>
    <w:rsid w:val="135D34BB"/>
    <w:rsid w:val="135D7A7B"/>
    <w:rsid w:val="136B3526"/>
    <w:rsid w:val="13726EE0"/>
    <w:rsid w:val="137D0855"/>
    <w:rsid w:val="13884D66"/>
    <w:rsid w:val="138B1270"/>
    <w:rsid w:val="13972562"/>
    <w:rsid w:val="13990EE9"/>
    <w:rsid w:val="139D323F"/>
    <w:rsid w:val="13A70116"/>
    <w:rsid w:val="13B23E5F"/>
    <w:rsid w:val="13C24B6D"/>
    <w:rsid w:val="13E95B61"/>
    <w:rsid w:val="13FD54CA"/>
    <w:rsid w:val="144944D3"/>
    <w:rsid w:val="144B6108"/>
    <w:rsid w:val="146C6890"/>
    <w:rsid w:val="14704DC1"/>
    <w:rsid w:val="14772F83"/>
    <w:rsid w:val="14816011"/>
    <w:rsid w:val="14A84FD6"/>
    <w:rsid w:val="14B44CE1"/>
    <w:rsid w:val="14CD7FFB"/>
    <w:rsid w:val="14DB0429"/>
    <w:rsid w:val="14E03DA3"/>
    <w:rsid w:val="151C7623"/>
    <w:rsid w:val="153349B4"/>
    <w:rsid w:val="154C04F2"/>
    <w:rsid w:val="156E4084"/>
    <w:rsid w:val="15735D78"/>
    <w:rsid w:val="158368AC"/>
    <w:rsid w:val="15857ABB"/>
    <w:rsid w:val="158B5802"/>
    <w:rsid w:val="1599420D"/>
    <w:rsid w:val="15B33B5B"/>
    <w:rsid w:val="15C05ECB"/>
    <w:rsid w:val="15C553AB"/>
    <w:rsid w:val="15D10042"/>
    <w:rsid w:val="15E84D0C"/>
    <w:rsid w:val="15E96835"/>
    <w:rsid w:val="16203C69"/>
    <w:rsid w:val="16286733"/>
    <w:rsid w:val="1630633C"/>
    <w:rsid w:val="164342D3"/>
    <w:rsid w:val="16470366"/>
    <w:rsid w:val="164765CD"/>
    <w:rsid w:val="165728B5"/>
    <w:rsid w:val="166011B0"/>
    <w:rsid w:val="16796ED4"/>
    <w:rsid w:val="167A1642"/>
    <w:rsid w:val="16981868"/>
    <w:rsid w:val="169E5D6D"/>
    <w:rsid w:val="16A717C2"/>
    <w:rsid w:val="16B44FD9"/>
    <w:rsid w:val="16C01378"/>
    <w:rsid w:val="16E32FB8"/>
    <w:rsid w:val="17082851"/>
    <w:rsid w:val="17117F41"/>
    <w:rsid w:val="17133099"/>
    <w:rsid w:val="1714349B"/>
    <w:rsid w:val="17514CDE"/>
    <w:rsid w:val="175A4E02"/>
    <w:rsid w:val="176127D3"/>
    <w:rsid w:val="17706BB8"/>
    <w:rsid w:val="17730119"/>
    <w:rsid w:val="177E7436"/>
    <w:rsid w:val="17850F83"/>
    <w:rsid w:val="17890B2B"/>
    <w:rsid w:val="179267E7"/>
    <w:rsid w:val="179D1DF6"/>
    <w:rsid w:val="17A9232F"/>
    <w:rsid w:val="17B11A0C"/>
    <w:rsid w:val="17E36252"/>
    <w:rsid w:val="17E564D0"/>
    <w:rsid w:val="17FB6AFB"/>
    <w:rsid w:val="18030338"/>
    <w:rsid w:val="181C43DB"/>
    <w:rsid w:val="182C2F7F"/>
    <w:rsid w:val="184E4AAE"/>
    <w:rsid w:val="18563D55"/>
    <w:rsid w:val="185F4839"/>
    <w:rsid w:val="185F666D"/>
    <w:rsid w:val="18630017"/>
    <w:rsid w:val="18B30347"/>
    <w:rsid w:val="18B42208"/>
    <w:rsid w:val="18E63CA2"/>
    <w:rsid w:val="18F523E0"/>
    <w:rsid w:val="19246EA5"/>
    <w:rsid w:val="19287EDE"/>
    <w:rsid w:val="194D6B14"/>
    <w:rsid w:val="1958741D"/>
    <w:rsid w:val="19625540"/>
    <w:rsid w:val="196B77B7"/>
    <w:rsid w:val="197A3154"/>
    <w:rsid w:val="1986250F"/>
    <w:rsid w:val="19960499"/>
    <w:rsid w:val="199F2E18"/>
    <w:rsid w:val="19A663D1"/>
    <w:rsid w:val="19B723A0"/>
    <w:rsid w:val="19B9102C"/>
    <w:rsid w:val="19C4251D"/>
    <w:rsid w:val="19D35887"/>
    <w:rsid w:val="19D70C51"/>
    <w:rsid w:val="19FA7CBC"/>
    <w:rsid w:val="1A04705B"/>
    <w:rsid w:val="1A0C17EB"/>
    <w:rsid w:val="1A2165DF"/>
    <w:rsid w:val="1A226BC3"/>
    <w:rsid w:val="1A274509"/>
    <w:rsid w:val="1A27524A"/>
    <w:rsid w:val="1A4F5B26"/>
    <w:rsid w:val="1A6E35C6"/>
    <w:rsid w:val="1A7C64F1"/>
    <w:rsid w:val="1A805EC8"/>
    <w:rsid w:val="1A8D75E2"/>
    <w:rsid w:val="1AA204CD"/>
    <w:rsid w:val="1AA44E44"/>
    <w:rsid w:val="1AAB2485"/>
    <w:rsid w:val="1AAB6505"/>
    <w:rsid w:val="1ABE01BE"/>
    <w:rsid w:val="1AD37F1A"/>
    <w:rsid w:val="1AE103B0"/>
    <w:rsid w:val="1AE71FE5"/>
    <w:rsid w:val="1B366417"/>
    <w:rsid w:val="1B383A0D"/>
    <w:rsid w:val="1B42238F"/>
    <w:rsid w:val="1B4D2CA2"/>
    <w:rsid w:val="1B586868"/>
    <w:rsid w:val="1B851A5C"/>
    <w:rsid w:val="1B8924D7"/>
    <w:rsid w:val="1B896965"/>
    <w:rsid w:val="1B911357"/>
    <w:rsid w:val="1BAE4DC7"/>
    <w:rsid w:val="1BD663D9"/>
    <w:rsid w:val="1BF1162B"/>
    <w:rsid w:val="1BF964C4"/>
    <w:rsid w:val="1BFA1F19"/>
    <w:rsid w:val="1BFA721E"/>
    <w:rsid w:val="1BFB1D4E"/>
    <w:rsid w:val="1C0D2A1F"/>
    <w:rsid w:val="1C1F5136"/>
    <w:rsid w:val="1C341B85"/>
    <w:rsid w:val="1C3B2740"/>
    <w:rsid w:val="1C4E23B5"/>
    <w:rsid w:val="1C563D88"/>
    <w:rsid w:val="1C703598"/>
    <w:rsid w:val="1CA34100"/>
    <w:rsid w:val="1CB21E3A"/>
    <w:rsid w:val="1CC17FA5"/>
    <w:rsid w:val="1CD821F7"/>
    <w:rsid w:val="1CEA2E02"/>
    <w:rsid w:val="1D1207F7"/>
    <w:rsid w:val="1D29646F"/>
    <w:rsid w:val="1D362C9A"/>
    <w:rsid w:val="1D5321C2"/>
    <w:rsid w:val="1D5970D5"/>
    <w:rsid w:val="1D5D7181"/>
    <w:rsid w:val="1D6D186A"/>
    <w:rsid w:val="1D6E35AF"/>
    <w:rsid w:val="1D81290D"/>
    <w:rsid w:val="1DA67C2A"/>
    <w:rsid w:val="1DD0193C"/>
    <w:rsid w:val="1DEB3555"/>
    <w:rsid w:val="1DF03C5B"/>
    <w:rsid w:val="1DF17679"/>
    <w:rsid w:val="1DF85B8A"/>
    <w:rsid w:val="1DFF47FC"/>
    <w:rsid w:val="1E046A22"/>
    <w:rsid w:val="1E0A72A6"/>
    <w:rsid w:val="1E125080"/>
    <w:rsid w:val="1E195BB5"/>
    <w:rsid w:val="1E371DEE"/>
    <w:rsid w:val="1E4403C8"/>
    <w:rsid w:val="1E453836"/>
    <w:rsid w:val="1E4D3C59"/>
    <w:rsid w:val="1E62130A"/>
    <w:rsid w:val="1E6222BA"/>
    <w:rsid w:val="1E626382"/>
    <w:rsid w:val="1E6C63D5"/>
    <w:rsid w:val="1E6E264C"/>
    <w:rsid w:val="1E8360B7"/>
    <w:rsid w:val="1E9308A0"/>
    <w:rsid w:val="1E9C63F5"/>
    <w:rsid w:val="1E9F7030"/>
    <w:rsid w:val="1EA06291"/>
    <w:rsid w:val="1EB6191F"/>
    <w:rsid w:val="1EC960E9"/>
    <w:rsid w:val="1ECE2D1C"/>
    <w:rsid w:val="1ED33DFA"/>
    <w:rsid w:val="1EE4461F"/>
    <w:rsid w:val="1EED322A"/>
    <w:rsid w:val="1EF86FA9"/>
    <w:rsid w:val="1F183A38"/>
    <w:rsid w:val="1F526BA8"/>
    <w:rsid w:val="1F527CB9"/>
    <w:rsid w:val="1F5725C0"/>
    <w:rsid w:val="1F57782C"/>
    <w:rsid w:val="1F590191"/>
    <w:rsid w:val="1F7D02D2"/>
    <w:rsid w:val="1F8D2D17"/>
    <w:rsid w:val="1F935928"/>
    <w:rsid w:val="1F976720"/>
    <w:rsid w:val="1FA255DE"/>
    <w:rsid w:val="1FDF63E4"/>
    <w:rsid w:val="1FF36AA7"/>
    <w:rsid w:val="201A37F2"/>
    <w:rsid w:val="202B2728"/>
    <w:rsid w:val="2032681D"/>
    <w:rsid w:val="203E4E2B"/>
    <w:rsid w:val="204A06C8"/>
    <w:rsid w:val="204B4C94"/>
    <w:rsid w:val="20527877"/>
    <w:rsid w:val="206A2C93"/>
    <w:rsid w:val="20815A87"/>
    <w:rsid w:val="20823EE5"/>
    <w:rsid w:val="209260EB"/>
    <w:rsid w:val="20A60F7E"/>
    <w:rsid w:val="20B750DF"/>
    <w:rsid w:val="20BF0A79"/>
    <w:rsid w:val="20CA7374"/>
    <w:rsid w:val="20D934B3"/>
    <w:rsid w:val="20E065F4"/>
    <w:rsid w:val="20F51366"/>
    <w:rsid w:val="211671EB"/>
    <w:rsid w:val="212B62EF"/>
    <w:rsid w:val="212F6C21"/>
    <w:rsid w:val="213C4EA8"/>
    <w:rsid w:val="21412F2F"/>
    <w:rsid w:val="214F1551"/>
    <w:rsid w:val="216975C6"/>
    <w:rsid w:val="218C7C26"/>
    <w:rsid w:val="218E5F13"/>
    <w:rsid w:val="21AA2BC8"/>
    <w:rsid w:val="21BB24E6"/>
    <w:rsid w:val="21C1513D"/>
    <w:rsid w:val="21C871D3"/>
    <w:rsid w:val="21CB308D"/>
    <w:rsid w:val="21CE7CB5"/>
    <w:rsid w:val="21FC4BAD"/>
    <w:rsid w:val="21FD3FB4"/>
    <w:rsid w:val="2207352A"/>
    <w:rsid w:val="220933EE"/>
    <w:rsid w:val="221667A8"/>
    <w:rsid w:val="222E6E2D"/>
    <w:rsid w:val="223D2FA1"/>
    <w:rsid w:val="22460C8A"/>
    <w:rsid w:val="224E5D50"/>
    <w:rsid w:val="22503948"/>
    <w:rsid w:val="22577599"/>
    <w:rsid w:val="226C22A6"/>
    <w:rsid w:val="22753B54"/>
    <w:rsid w:val="227D0E4A"/>
    <w:rsid w:val="228B4881"/>
    <w:rsid w:val="228C104B"/>
    <w:rsid w:val="22906F17"/>
    <w:rsid w:val="229A62A9"/>
    <w:rsid w:val="22CA0157"/>
    <w:rsid w:val="22D5431F"/>
    <w:rsid w:val="230039C8"/>
    <w:rsid w:val="230B4DAB"/>
    <w:rsid w:val="231A28D2"/>
    <w:rsid w:val="231B6173"/>
    <w:rsid w:val="23231D7D"/>
    <w:rsid w:val="2329304F"/>
    <w:rsid w:val="234223E7"/>
    <w:rsid w:val="237C4BC4"/>
    <w:rsid w:val="238755E3"/>
    <w:rsid w:val="238B69A7"/>
    <w:rsid w:val="23AD649F"/>
    <w:rsid w:val="23BE0B15"/>
    <w:rsid w:val="23C67791"/>
    <w:rsid w:val="23DD0981"/>
    <w:rsid w:val="23DF3661"/>
    <w:rsid w:val="23E06D9A"/>
    <w:rsid w:val="23E629DD"/>
    <w:rsid w:val="23E97DD8"/>
    <w:rsid w:val="23ED4800"/>
    <w:rsid w:val="23F47410"/>
    <w:rsid w:val="240755A6"/>
    <w:rsid w:val="24180C8F"/>
    <w:rsid w:val="24390EE1"/>
    <w:rsid w:val="243C2C02"/>
    <w:rsid w:val="243D715F"/>
    <w:rsid w:val="24675A22"/>
    <w:rsid w:val="24A034A8"/>
    <w:rsid w:val="24A40B3F"/>
    <w:rsid w:val="24A844C1"/>
    <w:rsid w:val="24B033E1"/>
    <w:rsid w:val="24C839B1"/>
    <w:rsid w:val="24CF58E0"/>
    <w:rsid w:val="24DA7FF7"/>
    <w:rsid w:val="24FC633F"/>
    <w:rsid w:val="25255D6C"/>
    <w:rsid w:val="25266B55"/>
    <w:rsid w:val="25435D6B"/>
    <w:rsid w:val="25466FA5"/>
    <w:rsid w:val="254F6869"/>
    <w:rsid w:val="255E0D0C"/>
    <w:rsid w:val="25761B3F"/>
    <w:rsid w:val="25775725"/>
    <w:rsid w:val="258554C7"/>
    <w:rsid w:val="258729A5"/>
    <w:rsid w:val="259323FC"/>
    <w:rsid w:val="25984109"/>
    <w:rsid w:val="259B06F1"/>
    <w:rsid w:val="259B2531"/>
    <w:rsid w:val="259E196B"/>
    <w:rsid w:val="25C02992"/>
    <w:rsid w:val="25D54C46"/>
    <w:rsid w:val="25D7171C"/>
    <w:rsid w:val="25FB2C79"/>
    <w:rsid w:val="26030B4C"/>
    <w:rsid w:val="26136578"/>
    <w:rsid w:val="262234BA"/>
    <w:rsid w:val="26474B65"/>
    <w:rsid w:val="264A4D34"/>
    <w:rsid w:val="265C0E2D"/>
    <w:rsid w:val="265D4B23"/>
    <w:rsid w:val="26675D26"/>
    <w:rsid w:val="26771576"/>
    <w:rsid w:val="2693499E"/>
    <w:rsid w:val="269C2D39"/>
    <w:rsid w:val="26B35ADA"/>
    <w:rsid w:val="26C41AB8"/>
    <w:rsid w:val="26CA49CD"/>
    <w:rsid w:val="26DE43CF"/>
    <w:rsid w:val="26FF4A81"/>
    <w:rsid w:val="27244317"/>
    <w:rsid w:val="272506F1"/>
    <w:rsid w:val="27345C4A"/>
    <w:rsid w:val="27387E86"/>
    <w:rsid w:val="27395806"/>
    <w:rsid w:val="27495534"/>
    <w:rsid w:val="274D4E12"/>
    <w:rsid w:val="275368BE"/>
    <w:rsid w:val="275903E1"/>
    <w:rsid w:val="27595274"/>
    <w:rsid w:val="277B1E14"/>
    <w:rsid w:val="2792670E"/>
    <w:rsid w:val="27A261BB"/>
    <w:rsid w:val="27C31158"/>
    <w:rsid w:val="27D54FC0"/>
    <w:rsid w:val="27D944EE"/>
    <w:rsid w:val="27F27DDE"/>
    <w:rsid w:val="27FB1621"/>
    <w:rsid w:val="280B0C75"/>
    <w:rsid w:val="280D24A0"/>
    <w:rsid w:val="2816372D"/>
    <w:rsid w:val="28510AE1"/>
    <w:rsid w:val="285677C9"/>
    <w:rsid w:val="28720989"/>
    <w:rsid w:val="287501EA"/>
    <w:rsid w:val="28822047"/>
    <w:rsid w:val="28973513"/>
    <w:rsid w:val="28A6006C"/>
    <w:rsid w:val="28AB4E71"/>
    <w:rsid w:val="28B128DA"/>
    <w:rsid w:val="28C70D51"/>
    <w:rsid w:val="28CB5E5D"/>
    <w:rsid w:val="28CE3E9B"/>
    <w:rsid w:val="28D10780"/>
    <w:rsid w:val="28DB41E5"/>
    <w:rsid w:val="28DE3AB9"/>
    <w:rsid w:val="28EB4842"/>
    <w:rsid w:val="28FD4688"/>
    <w:rsid w:val="29044FBA"/>
    <w:rsid w:val="29100D9B"/>
    <w:rsid w:val="29170598"/>
    <w:rsid w:val="29181261"/>
    <w:rsid w:val="29196CFB"/>
    <w:rsid w:val="291F5B42"/>
    <w:rsid w:val="29240AD7"/>
    <w:rsid w:val="292E24A0"/>
    <w:rsid w:val="293027B6"/>
    <w:rsid w:val="293A37C8"/>
    <w:rsid w:val="294D4D14"/>
    <w:rsid w:val="295C0D81"/>
    <w:rsid w:val="295C605F"/>
    <w:rsid w:val="295E4B05"/>
    <w:rsid w:val="2960450A"/>
    <w:rsid w:val="296B2BD2"/>
    <w:rsid w:val="29981CF1"/>
    <w:rsid w:val="29A04341"/>
    <w:rsid w:val="29A8408C"/>
    <w:rsid w:val="29AC2448"/>
    <w:rsid w:val="29B94F24"/>
    <w:rsid w:val="29CA345C"/>
    <w:rsid w:val="29D565E0"/>
    <w:rsid w:val="29D97BCD"/>
    <w:rsid w:val="29E451BA"/>
    <w:rsid w:val="29F44D17"/>
    <w:rsid w:val="2A403B83"/>
    <w:rsid w:val="2A4931BD"/>
    <w:rsid w:val="2A58486E"/>
    <w:rsid w:val="2A5A594C"/>
    <w:rsid w:val="2A5A6F87"/>
    <w:rsid w:val="2A846CCC"/>
    <w:rsid w:val="2A8A24C2"/>
    <w:rsid w:val="2A9552F3"/>
    <w:rsid w:val="2AA96129"/>
    <w:rsid w:val="2AB00E66"/>
    <w:rsid w:val="2ABC1DA2"/>
    <w:rsid w:val="2AE31C1D"/>
    <w:rsid w:val="2AE5745C"/>
    <w:rsid w:val="2AE64338"/>
    <w:rsid w:val="2AE830D7"/>
    <w:rsid w:val="2AEB7D40"/>
    <w:rsid w:val="2AF76BC2"/>
    <w:rsid w:val="2B0A7378"/>
    <w:rsid w:val="2B0F25EE"/>
    <w:rsid w:val="2B271E70"/>
    <w:rsid w:val="2B405489"/>
    <w:rsid w:val="2B4D50F0"/>
    <w:rsid w:val="2B590C34"/>
    <w:rsid w:val="2B591CE7"/>
    <w:rsid w:val="2B687B23"/>
    <w:rsid w:val="2B6B260F"/>
    <w:rsid w:val="2B6F4F21"/>
    <w:rsid w:val="2B704176"/>
    <w:rsid w:val="2B780B9B"/>
    <w:rsid w:val="2B793244"/>
    <w:rsid w:val="2B9433CA"/>
    <w:rsid w:val="2B9869B1"/>
    <w:rsid w:val="2B987D18"/>
    <w:rsid w:val="2B9A2709"/>
    <w:rsid w:val="2BAC6E79"/>
    <w:rsid w:val="2BBE0CED"/>
    <w:rsid w:val="2BC97823"/>
    <w:rsid w:val="2BD43628"/>
    <w:rsid w:val="2BE14FFE"/>
    <w:rsid w:val="2BE51142"/>
    <w:rsid w:val="2BEC428E"/>
    <w:rsid w:val="2BFA43E5"/>
    <w:rsid w:val="2C04144D"/>
    <w:rsid w:val="2C17569C"/>
    <w:rsid w:val="2C1B357C"/>
    <w:rsid w:val="2C20304A"/>
    <w:rsid w:val="2C2220D9"/>
    <w:rsid w:val="2C3D0DF5"/>
    <w:rsid w:val="2C3F1A02"/>
    <w:rsid w:val="2C427E66"/>
    <w:rsid w:val="2C467262"/>
    <w:rsid w:val="2C5D1A55"/>
    <w:rsid w:val="2C681CAC"/>
    <w:rsid w:val="2C866D1C"/>
    <w:rsid w:val="2CB941F0"/>
    <w:rsid w:val="2CC23390"/>
    <w:rsid w:val="2CEB4ED0"/>
    <w:rsid w:val="2CF03131"/>
    <w:rsid w:val="2CF078A4"/>
    <w:rsid w:val="2CF07F32"/>
    <w:rsid w:val="2CFA4448"/>
    <w:rsid w:val="2CFB47DC"/>
    <w:rsid w:val="2D08174D"/>
    <w:rsid w:val="2D1A5635"/>
    <w:rsid w:val="2D1B3053"/>
    <w:rsid w:val="2D1F50BE"/>
    <w:rsid w:val="2D305BCC"/>
    <w:rsid w:val="2D4105C7"/>
    <w:rsid w:val="2D4A2BF8"/>
    <w:rsid w:val="2D5E1D26"/>
    <w:rsid w:val="2D6F166A"/>
    <w:rsid w:val="2D8F260A"/>
    <w:rsid w:val="2D97040A"/>
    <w:rsid w:val="2DA07AF5"/>
    <w:rsid w:val="2DD2758A"/>
    <w:rsid w:val="2DEC50D5"/>
    <w:rsid w:val="2DF87871"/>
    <w:rsid w:val="2DFE1007"/>
    <w:rsid w:val="2E2B2E92"/>
    <w:rsid w:val="2E2B34AA"/>
    <w:rsid w:val="2E35711F"/>
    <w:rsid w:val="2E397EAD"/>
    <w:rsid w:val="2E4224AC"/>
    <w:rsid w:val="2E4B2AAA"/>
    <w:rsid w:val="2E5C39CD"/>
    <w:rsid w:val="2E6A2B84"/>
    <w:rsid w:val="2E7612A3"/>
    <w:rsid w:val="2E857246"/>
    <w:rsid w:val="2E992286"/>
    <w:rsid w:val="2E9C3878"/>
    <w:rsid w:val="2EA75C8A"/>
    <w:rsid w:val="2EB11899"/>
    <w:rsid w:val="2EBA608C"/>
    <w:rsid w:val="2EDA40EE"/>
    <w:rsid w:val="2EDE6AAB"/>
    <w:rsid w:val="2EF5576D"/>
    <w:rsid w:val="2EF6222B"/>
    <w:rsid w:val="2F0602B9"/>
    <w:rsid w:val="2F245889"/>
    <w:rsid w:val="2F4A3762"/>
    <w:rsid w:val="2F5664E2"/>
    <w:rsid w:val="2F5A10E9"/>
    <w:rsid w:val="2F640558"/>
    <w:rsid w:val="2F6A2FD6"/>
    <w:rsid w:val="2F824EB6"/>
    <w:rsid w:val="2FBC6931"/>
    <w:rsid w:val="2FCF0F8E"/>
    <w:rsid w:val="2FD615E4"/>
    <w:rsid w:val="2FD63F34"/>
    <w:rsid w:val="2FDF64BC"/>
    <w:rsid w:val="2FED0B26"/>
    <w:rsid w:val="30007C03"/>
    <w:rsid w:val="302D006D"/>
    <w:rsid w:val="303C4465"/>
    <w:rsid w:val="303F6996"/>
    <w:rsid w:val="30602BA0"/>
    <w:rsid w:val="30750635"/>
    <w:rsid w:val="30963380"/>
    <w:rsid w:val="30A608BD"/>
    <w:rsid w:val="30AF3861"/>
    <w:rsid w:val="30B32B94"/>
    <w:rsid w:val="30B40A03"/>
    <w:rsid w:val="30C00D45"/>
    <w:rsid w:val="30E00D6A"/>
    <w:rsid w:val="310142D8"/>
    <w:rsid w:val="31085D41"/>
    <w:rsid w:val="310879B7"/>
    <w:rsid w:val="31466263"/>
    <w:rsid w:val="3146799B"/>
    <w:rsid w:val="316A3FC7"/>
    <w:rsid w:val="316D3DF6"/>
    <w:rsid w:val="31824079"/>
    <w:rsid w:val="319574FF"/>
    <w:rsid w:val="31A652A7"/>
    <w:rsid w:val="31AB1206"/>
    <w:rsid w:val="31B55224"/>
    <w:rsid w:val="31BA0208"/>
    <w:rsid w:val="31C327D5"/>
    <w:rsid w:val="31C703F8"/>
    <w:rsid w:val="31DA0D6C"/>
    <w:rsid w:val="3210509E"/>
    <w:rsid w:val="32367EAF"/>
    <w:rsid w:val="32455849"/>
    <w:rsid w:val="32770DA9"/>
    <w:rsid w:val="328A058E"/>
    <w:rsid w:val="328A7902"/>
    <w:rsid w:val="32B20D1C"/>
    <w:rsid w:val="32BB6F2F"/>
    <w:rsid w:val="32C62710"/>
    <w:rsid w:val="33042C6D"/>
    <w:rsid w:val="331935FC"/>
    <w:rsid w:val="33213675"/>
    <w:rsid w:val="33275995"/>
    <w:rsid w:val="332826CA"/>
    <w:rsid w:val="332E597A"/>
    <w:rsid w:val="33480244"/>
    <w:rsid w:val="33506D8C"/>
    <w:rsid w:val="33532519"/>
    <w:rsid w:val="33560D41"/>
    <w:rsid w:val="33752773"/>
    <w:rsid w:val="33775755"/>
    <w:rsid w:val="33884627"/>
    <w:rsid w:val="33A579EB"/>
    <w:rsid w:val="33B547F1"/>
    <w:rsid w:val="33BA44A9"/>
    <w:rsid w:val="33BC76FC"/>
    <w:rsid w:val="33CF1692"/>
    <w:rsid w:val="33DA7815"/>
    <w:rsid w:val="33E076EB"/>
    <w:rsid w:val="33ED0920"/>
    <w:rsid w:val="33EE5320"/>
    <w:rsid w:val="340428C3"/>
    <w:rsid w:val="34104DB3"/>
    <w:rsid w:val="341F7131"/>
    <w:rsid w:val="34341325"/>
    <w:rsid w:val="344A6F28"/>
    <w:rsid w:val="344E42D0"/>
    <w:rsid w:val="345A08B6"/>
    <w:rsid w:val="345A56A8"/>
    <w:rsid w:val="3467772B"/>
    <w:rsid w:val="347C46B5"/>
    <w:rsid w:val="34994444"/>
    <w:rsid w:val="349C169A"/>
    <w:rsid w:val="34A10AA4"/>
    <w:rsid w:val="34B12AC5"/>
    <w:rsid w:val="34C72695"/>
    <w:rsid w:val="34D049CD"/>
    <w:rsid w:val="34D63DAB"/>
    <w:rsid w:val="34E071B0"/>
    <w:rsid w:val="34F83F4C"/>
    <w:rsid w:val="34F853FC"/>
    <w:rsid w:val="34FE2C83"/>
    <w:rsid w:val="35400F1D"/>
    <w:rsid w:val="354316C3"/>
    <w:rsid w:val="3544736A"/>
    <w:rsid w:val="355663C3"/>
    <w:rsid w:val="357274FC"/>
    <w:rsid w:val="357515D8"/>
    <w:rsid w:val="35793102"/>
    <w:rsid w:val="357A2853"/>
    <w:rsid w:val="359028B5"/>
    <w:rsid w:val="359758E5"/>
    <w:rsid w:val="35E57748"/>
    <w:rsid w:val="35FA5C79"/>
    <w:rsid w:val="36194856"/>
    <w:rsid w:val="36436E5C"/>
    <w:rsid w:val="36975E51"/>
    <w:rsid w:val="36A30364"/>
    <w:rsid w:val="36AA0F52"/>
    <w:rsid w:val="36AC6E66"/>
    <w:rsid w:val="36B50D5F"/>
    <w:rsid w:val="36B93320"/>
    <w:rsid w:val="36BD54B5"/>
    <w:rsid w:val="36E940A8"/>
    <w:rsid w:val="36F83F9F"/>
    <w:rsid w:val="37010D42"/>
    <w:rsid w:val="373E16A3"/>
    <w:rsid w:val="37476AB7"/>
    <w:rsid w:val="374D7B76"/>
    <w:rsid w:val="375D18C5"/>
    <w:rsid w:val="376B1173"/>
    <w:rsid w:val="37857877"/>
    <w:rsid w:val="378D5057"/>
    <w:rsid w:val="378D7584"/>
    <w:rsid w:val="37A61E10"/>
    <w:rsid w:val="37AF786A"/>
    <w:rsid w:val="38064FA4"/>
    <w:rsid w:val="380D2C57"/>
    <w:rsid w:val="386B752B"/>
    <w:rsid w:val="38870C58"/>
    <w:rsid w:val="388A45AA"/>
    <w:rsid w:val="38953428"/>
    <w:rsid w:val="389E3DD4"/>
    <w:rsid w:val="389E5FEF"/>
    <w:rsid w:val="38A81BB8"/>
    <w:rsid w:val="38AB32C0"/>
    <w:rsid w:val="38AE7D40"/>
    <w:rsid w:val="38B8706B"/>
    <w:rsid w:val="38C06A07"/>
    <w:rsid w:val="38C87661"/>
    <w:rsid w:val="38D50F36"/>
    <w:rsid w:val="38E05463"/>
    <w:rsid w:val="38F9607B"/>
    <w:rsid w:val="38FC4FCF"/>
    <w:rsid w:val="390D2839"/>
    <w:rsid w:val="391C4513"/>
    <w:rsid w:val="392309B7"/>
    <w:rsid w:val="39301164"/>
    <w:rsid w:val="39406235"/>
    <w:rsid w:val="39460C51"/>
    <w:rsid w:val="3952748A"/>
    <w:rsid w:val="396B0D23"/>
    <w:rsid w:val="39814766"/>
    <w:rsid w:val="39844B65"/>
    <w:rsid w:val="39967F9B"/>
    <w:rsid w:val="39AC1F52"/>
    <w:rsid w:val="39B5209E"/>
    <w:rsid w:val="39C86ABC"/>
    <w:rsid w:val="39D21354"/>
    <w:rsid w:val="39DA430D"/>
    <w:rsid w:val="39EE41EF"/>
    <w:rsid w:val="39EE736C"/>
    <w:rsid w:val="39F83A13"/>
    <w:rsid w:val="3A0A750A"/>
    <w:rsid w:val="3A226D37"/>
    <w:rsid w:val="3A2C21C1"/>
    <w:rsid w:val="3A370E27"/>
    <w:rsid w:val="3A414072"/>
    <w:rsid w:val="3A457FC6"/>
    <w:rsid w:val="3A584EF9"/>
    <w:rsid w:val="3A8F3D0F"/>
    <w:rsid w:val="3A95267E"/>
    <w:rsid w:val="3A981405"/>
    <w:rsid w:val="3AAA05E3"/>
    <w:rsid w:val="3AB05385"/>
    <w:rsid w:val="3ABD146D"/>
    <w:rsid w:val="3AD02E4B"/>
    <w:rsid w:val="3AD03642"/>
    <w:rsid w:val="3AD849D6"/>
    <w:rsid w:val="3B026D69"/>
    <w:rsid w:val="3B3F54A2"/>
    <w:rsid w:val="3B4C6BB0"/>
    <w:rsid w:val="3B5F7FC7"/>
    <w:rsid w:val="3B652242"/>
    <w:rsid w:val="3B7A5D6F"/>
    <w:rsid w:val="3B7B5928"/>
    <w:rsid w:val="3B7E75DC"/>
    <w:rsid w:val="3B8957DD"/>
    <w:rsid w:val="3B8B7C0B"/>
    <w:rsid w:val="3B8C5AE0"/>
    <w:rsid w:val="3B977676"/>
    <w:rsid w:val="3B996A09"/>
    <w:rsid w:val="3BA16071"/>
    <w:rsid w:val="3BB5255F"/>
    <w:rsid w:val="3BB959E5"/>
    <w:rsid w:val="3BC46D08"/>
    <w:rsid w:val="3BCB2EBE"/>
    <w:rsid w:val="3BFA3CF2"/>
    <w:rsid w:val="3C276E00"/>
    <w:rsid w:val="3C31718A"/>
    <w:rsid w:val="3C547D6B"/>
    <w:rsid w:val="3C585448"/>
    <w:rsid w:val="3C8D4615"/>
    <w:rsid w:val="3CAB06B5"/>
    <w:rsid w:val="3CB12404"/>
    <w:rsid w:val="3CB45AD7"/>
    <w:rsid w:val="3CB465D6"/>
    <w:rsid w:val="3CC529F7"/>
    <w:rsid w:val="3CCF4D03"/>
    <w:rsid w:val="3CD012D5"/>
    <w:rsid w:val="3CD120B3"/>
    <w:rsid w:val="3CDC7B1C"/>
    <w:rsid w:val="3CEA7D50"/>
    <w:rsid w:val="3D134C04"/>
    <w:rsid w:val="3D1F4488"/>
    <w:rsid w:val="3D200B34"/>
    <w:rsid w:val="3D4032E7"/>
    <w:rsid w:val="3D4F1BEC"/>
    <w:rsid w:val="3D57080E"/>
    <w:rsid w:val="3D600CB3"/>
    <w:rsid w:val="3D7F141A"/>
    <w:rsid w:val="3D9E46AB"/>
    <w:rsid w:val="3DA747CD"/>
    <w:rsid w:val="3DAA0C1B"/>
    <w:rsid w:val="3DB1736E"/>
    <w:rsid w:val="3E0D3C45"/>
    <w:rsid w:val="3E582301"/>
    <w:rsid w:val="3E5D56EA"/>
    <w:rsid w:val="3E61110B"/>
    <w:rsid w:val="3E660A7E"/>
    <w:rsid w:val="3E685E17"/>
    <w:rsid w:val="3E6A74E9"/>
    <w:rsid w:val="3E72153E"/>
    <w:rsid w:val="3E731A76"/>
    <w:rsid w:val="3E8B4B84"/>
    <w:rsid w:val="3E8B6810"/>
    <w:rsid w:val="3E92762D"/>
    <w:rsid w:val="3ECC0012"/>
    <w:rsid w:val="3EDF3925"/>
    <w:rsid w:val="3EF0414E"/>
    <w:rsid w:val="3EF364D7"/>
    <w:rsid w:val="3F1727F5"/>
    <w:rsid w:val="3F195A0F"/>
    <w:rsid w:val="3F1B22A4"/>
    <w:rsid w:val="3F1C4DE5"/>
    <w:rsid w:val="3F315EB0"/>
    <w:rsid w:val="3F3434CE"/>
    <w:rsid w:val="3F387708"/>
    <w:rsid w:val="3F387CFB"/>
    <w:rsid w:val="3F474725"/>
    <w:rsid w:val="3F4C3D1C"/>
    <w:rsid w:val="3F6604E6"/>
    <w:rsid w:val="3F6C6F29"/>
    <w:rsid w:val="3F782F3F"/>
    <w:rsid w:val="3F7D5695"/>
    <w:rsid w:val="3F8C04DD"/>
    <w:rsid w:val="3F8C2C33"/>
    <w:rsid w:val="3F9C1CAD"/>
    <w:rsid w:val="3F9D2CC5"/>
    <w:rsid w:val="3FA15C55"/>
    <w:rsid w:val="3FA3670A"/>
    <w:rsid w:val="3FA825E8"/>
    <w:rsid w:val="3FC9096C"/>
    <w:rsid w:val="3FDB51FD"/>
    <w:rsid w:val="3FE82F3A"/>
    <w:rsid w:val="3FED6A61"/>
    <w:rsid w:val="3FEE25A6"/>
    <w:rsid w:val="3FF61892"/>
    <w:rsid w:val="3FF9143C"/>
    <w:rsid w:val="3FFB0C14"/>
    <w:rsid w:val="40185A56"/>
    <w:rsid w:val="404277DD"/>
    <w:rsid w:val="404E3DC9"/>
    <w:rsid w:val="404F10E3"/>
    <w:rsid w:val="405462A1"/>
    <w:rsid w:val="405774AB"/>
    <w:rsid w:val="40631DED"/>
    <w:rsid w:val="40672FD6"/>
    <w:rsid w:val="407413BC"/>
    <w:rsid w:val="40AB70CD"/>
    <w:rsid w:val="40B85F61"/>
    <w:rsid w:val="40BC2E3E"/>
    <w:rsid w:val="40BD39D4"/>
    <w:rsid w:val="40D11E0F"/>
    <w:rsid w:val="40F02E90"/>
    <w:rsid w:val="40FE11AF"/>
    <w:rsid w:val="41046590"/>
    <w:rsid w:val="4119525F"/>
    <w:rsid w:val="41206D76"/>
    <w:rsid w:val="41303B6E"/>
    <w:rsid w:val="41385251"/>
    <w:rsid w:val="41536073"/>
    <w:rsid w:val="415A7F2C"/>
    <w:rsid w:val="416F01E6"/>
    <w:rsid w:val="41727385"/>
    <w:rsid w:val="41876FA6"/>
    <w:rsid w:val="418A09F4"/>
    <w:rsid w:val="41923405"/>
    <w:rsid w:val="41A35503"/>
    <w:rsid w:val="41AF2853"/>
    <w:rsid w:val="41B26283"/>
    <w:rsid w:val="41B81802"/>
    <w:rsid w:val="41C84E39"/>
    <w:rsid w:val="41DE62C2"/>
    <w:rsid w:val="41EB7421"/>
    <w:rsid w:val="41F01A35"/>
    <w:rsid w:val="422E0623"/>
    <w:rsid w:val="422F34B6"/>
    <w:rsid w:val="42305873"/>
    <w:rsid w:val="42326FC3"/>
    <w:rsid w:val="42393D29"/>
    <w:rsid w:val="423F0C5C"/>
    <w:rsid w:val="4243401F"/>
    <w:rsid w:val="424A5815"/>
    <w:rsid w:val="424D306B"/>
    <w:rsid w:val="426A51A2"/>
    <w:rsid w:val="427B7942"/>
    <w:rsid w:val="42A17305"/>
    <w:rsid w:val="42A2092C"/>
    <w:rsid w:val="42B01B03"/>
    <w:rsid w:val="42C92DA4"/>
    <w:rsid w:val="42CD5282"/>
    <w:rsid w:val="42D151D3"/>
    <w:rsid w:val="42D9426E"/>
    <w:rsid w:val="42DD122A"/>
    <w:rsid w:val="432E20A3"/>
    <w:rsid w:val="43403052"/>
    <w:rsid w:val="43504D3A"/>
    <w:rsid w:val="43543192"/>
    <w:rsid w:val="43565F94"/>
    <w:rsid w:val="435B6146"/>
    <w:rsid w:val="4391786A"/>
    <w:rsid w:val="439C2FBE"/>
    <w:rsid w:val="43B00525"/>
    <w:rsid w:val="43C57CF9"/>
    <w:rsid w:val="43CE1301"/>
    <w:rsid w:val="43D765D6"/>
    <w:rsid w:val="43E06266"/>
    <w:rsid w:val="43EE063F"/>
    <w:rsid w:val="43F35CCA"/>
    <w:rsid w:val="440D29B2"/>
    <w:rsid w:val="44137E1E"/>
    <w:rsid w:val="441E278A"/>
    <w:rsid w:val="44367955"/>
    <w:rsid w:val="4492209A"/>
    <w:rsid w:val="449724CC"/>
    <w:rsid w:val="449A5D35"/>
    <w:rsid w:val="44A06257"/>
    <w:rsid w:val="44A373F6"/>
    <w:rsid w:val="44BC264A"/>
    <w:rsid w:val="44D97BA2"/>
    <w:rsid w:val="44FF7315"/>
    <w:rsid w:val="45124919"/>
    <w:rsid w:val="451F1A68"/>
    <w:rsid w:val="45331244"/>
    <w:rsid w:val="453942C3"/>
    <w:rsid w:val="453A1AA4"/>
    <w:rsid w:val="45493911"/>
    <w:rsid w:val="455C4D4B"/>
    <w:rsid w:val="455D43C2"/>
    <w:rsid w:val="45621C13"/>
    <w:rsid w:val="456E6945"/>
    <w:rsid w:val="459513C7"/>
    <w:rsid w:val="45AD404A"/>
    <w:rsid w:val="45E7264C"/>
    <w:rsid w:val="46052822"/>
    <w:rsid w:val="460D0557"/>
    <w:rsid w:val="46113F90"/>
    <w:rsid w:val="46115F67"/>
    <w:rsid w:val="4620660F"/>
    <w:rsid w:val="46260EA0"/>
    <w:rsid w:val="462B01B2"/>
    <w:rsid w:val="463A177B"/>
    <w:rsid w:val="46490C4A"/>
    <w:rsid w:val="46532423"/>
    <w:rsid w:val="465702A3"/>
    <w:rsid w:val="465A6BE7"/>
    <w:rsid w:val="465C36B4"/>
    <w:rsid w:val="4666117C"/>
    <w:rsid w:val="466C2654"/>
    <w:rsid w:val="46701397"/>
    <w:rsid w:val="467120F7"/>
    <w:rsid w:val="467F11BF"/>
    <w:rsid w:val="46A00372"/>
    <w:rsid w:val="46A04C79"/>
    <w:rsid w:val="46A97F01"/>
    <w:rsid w:val="46B032C5"/>
    <w:rsid w:val="46B17BFF"/>
    <w:rsid w:val="46B8390E"/>
    <w:rsid w:val="46BB6A26"/>
    <w:rsid w:val="46C12E81"/>
    <w:rsid w:val="46D76A89"/>
    <w:rsid w:val="46DA4AB1"/>
    <w:rsid w:val="46EB398F"/>
    <w:rsid w:val="46ED069B"/>
    <w:rsid w:val="46F8087B"/>
    <w:rsid w:val="470B56F9"/>
    <w:rsid w:val="47185722"/>
    <w:rsid w:val="47217705"/>
    <w:rsid w:val="47270FA8"/>
    <w:rsid w:val="472D23AD"/>
    <w:rsid w:val="47354BFE"/>
    <w:rsid w:val="4752414F"/>
    <w:rsid w:val="47527B46"/>
    <w:rsid w:val="47571515"/>
    <w:rsid w:val="47594A4F"/>
    <w:rsid w:val="475D4FD5"/>
    <w:rsid w:val="47602E22"/>
    <w:rsid w:val="47836582"/>
    <w:rsid w:val="479F2531"/>
    <w:rsid w:val="47B131F0"/>
    <w:rsid w:val="47B65B20"/>
    <w:rsid w:val="47BA179A"/>
    <w:rsid w:val="47CB3D38"/>
    <w:rsid w:val="47D600E2"/>
    <w:rsid w:val="47F11A8E"/>
    <w:rsid w:val="480908C5"/>
    <w:rsid w:val="480B20AA"/>
    <w:rsid w:val="48187201"/>
    <w:rsid w:val="48310AB1"/>
    <w:rsid w:val="484C1A60"/>
    <w:rsid w:val="484F7CCD"/>
    <w:rsid w:val="48714B44"/>
    <w:rsid w:val="489E4BDA"/>
    <w:rsid w:val="48B15732"/>
    <w:rsid w:val="48BF344C"/>
    <w:rsid w:val="48C62660"/>
    <w:rsid w:val="48E347D4"/>
    <w:rsid w:val="48E37CEF"/>
    <w:rsid w:val="48EF543C"/>
    <w:rsid w:val="48F20A93"/>
    <w:rsid w:val="49156C11"/>
    <w:rsid w:val="491867F3"/>
    <w:rsid w:val="49564178"/>
    <w:rsid w:val="496B3D91"/>
    <w:rsid w:val="498B794F"/>
    <w:rsid w:val="498F088B"/>
    <w:rsid w:val="49AC5ABC"/>
    <w:rsid w:val="49AE1FDD"/>
    <w:rsid w:val="49D17B3C"/>
    <w:rsid w:val="49D5167D"/>
    <w:rsid w:val="49DD161D"/>
    <w:rsid w:val="49DE5B96"/>
    <w:rsid w:val="49E07F92"/>
    <w:rsid w:val="49E73001"/>
    <w:rsid w:val="49F23DE0"/>
    <w:rsid w:val="49F605EB"/>
    <w:rsid w:val="4A2C1383"/>
    <w:rsid w:val="4A2F131F"/>
    <w:rsid w:val="4A4C4EB1"/>
    <w:rsid w:val="4A5D60F6"/>
    <w:rsid w:val="4A6D716B"/>
    <w:rsid w:val="4A71101A"/>
    <w:rsid w:val="4A725641"/>
    <w:rsid w:val="4A7C5E6C"/>
    <w:rsid w:val="4AA54FAA"/>
    <w:rsid w:val="4AA97408"/>
    <w:rsid w:val="4AC60D92"/>
    <w:rsid w:val="4ADF2354"/>
    <w:rsid w:val="4AF07C29"/>
    <w:rsid w:val="4B010890"/>
    <w:rsid w:val="4B013687"/>
    <w:rsid w:val="4B0A682F"/>
    <w:rsid w:val="4B2B2C0E"/>
    <w:rsid w:val="4B3B09B2"/>
    <w:rsid w:val="4B42459B"/>
    <w:rsid w:val="4B4360F3"/>
    <w:rsid w:val="4B501C00"/>
    <w:rsid w:val="4B520436"/>
    <w:rsid w:val="4B567CC6"/>
    <w:rsid w:val="4B58381D"/>
    <w:rsid w:val="4B5B1190"/>
    <w:rsid w:val="4B5E0F43"/>
    <w:rsid w:val="4B623F21"/>
    <w:rsid w:val="4B7D65D5"/>
    <w:rsid w:val="4B8049FE"/>
    <w:rsid w:val="4B936AD8"/>
    <w:rsid w:val="4BA44C63"/>
    <w:rsid w:val="4BB82D3A"/>
    <w:rsid w:val="4BCE0986"/>
    <w:rsid w:val="4BEA2F62"/>
    <w:rsid w:val="4BF17E22"/>
    <w:rsid w:val="4BF56214"/>
    <w:rsid w:val="4BF87401"/>
    <w:rsid w:val="4BFB415C"/>
    <w:rsid w:val="4C0940E6"/>
    <w:rsid w:val="4C171B93"/>
    <w:rsid w:val="4C43140F"/>
    <w:rsid w:val="4C485734"/>
    <w:rsid w:val="4C5078FF"/>
    <w:rsid w:val="4C580A49"/>
    <w:rsid w:val="4C5A4311"/>
    <w:rsid w:val="4C5F569E"/>
    <w:rsid w:val="4C7139A8"/>
    <w:rsid w:val="4C7F4625"/>
    <w:rsid w:val="4C9A37BD"/>
    <w:rsid w:val="4CBC1BBB"/>
    <w:rsid w:val="4CC56E62"/>
    <w:rsid w:val="4CDE27F3"/>
    <w:rsid w:val="4CFD28C3"/>
    <w:rsid w:val="4D0A17D8"/>
    <w:rsid w:val="4D1978A3"/>
    <w:rsid w:val="4D267F89"/>
    <w:rsid w:val="4D355ED7"/>
    <w:rsid w:val="4D357584"/>
    <w:rsid w:val="4D3B7475"/>
    <w:rsid w:val="4D3E5B8D"/>
    <w:rsid w:val="4D447A21"/>
    <w:rsid w:val="4D5A631E"/>
    <w:rsid w:val="4D62177A"/>
    <w:rsid w:val="4D653AF8"/>
    <w:rsid w:val="4D6D7971"/>
    <w:rsid w:val="4D7E1BFE"/>
    <w:rsid w:val="4D841178"/>
    <w:rsid w:val="4D8D36C1"/>
    <w:rsid w:val="4D997D56"/>
    <w:rsid w:val="4D9E2300"/>
    <w:rsid w:val="4DC93A4F"/>
    <w:rsid w:val="4DD23256"/>
    <w:rsid w:val="4DDC4386"/>
    <w:rsid w:val="4DE06AAB"/>
    <w:rsid w:val="4DE3002B"/>
    <w:rsid w:val="4DE30F55"/>
    <w:rsid w:val="4DE32069"/>
    <w:rsid w:val="4DF4760B"/>
    <w:rsid w:val="4E0F717F"/>
    <w:rsid w:val="4E2620B8"/>
    <w:rsid w:val="4E2D30B7"/>
    <w:rsid w:val="4E3C74AB"/>
    <w:rsid w:val="4E3D32A0"/>
    <w:rsid w:val="4E7A54CE"/>
    <w:rsid w:val="4E7B206C"/>
    <w:rsid w:val="4E866E88"/>
    <w:rsid w:val="4E8A2B28"/>
    <w:rsid w:val="4EBB44FA"/>
    <w:rsid w:val="4EC44D4C"/>
    <w:rsid w:val="4ED42EFA"/>
    <w:rsid w:val="4ED43ACE"/>
    <w:rsid w:val="4EDE4727"/>
    <w:rsid w:val="4EE24E35"/>
    <w:rsid w:val="4EF90CA7"/>
    <w:rsid w:val="4EFA2AB9"/>
    <w:rsid w:val="4F107366"/>
    <w:rsid w:val="4F410BD2"/>
    <w:rsid w:val="4F423891"/>
    <w:rsid w:val="4F45538A"/>
    <w:rsid w:val="4F550CC9"/>
    <w:rsid w:val="4F6D0B9B"/>
    <w:rsid w:val="4F6F4368"/>
    <w:rsid w:val="4F72262C"/>
    <w:rsid w:val="4F7A3C60"/>
    <w:rsid w:val="4F8F11CC"/>
    <w:rsid w:val="4FB36712"/>
    <w:rsid w:val="4FDF51C6"/>
    <w:rsid w:val="4FF36B19"/>
    <w:rsid w:val="4FF90320"/>
    <w:rsid w:val="4FFA3095"/>
    <w:rsid w:val="4FFD5CA4"/>
    <w:rsid w:val="500C58BA"/>
    <w:rsid w:val="500C7349"/>
    <w:rsid w:val="500F38FC"/>
    <w:rsid w:val="50144E15"/>
    <w:rsid w:val="50151C9D"/>
    <w:rsid w:val="50223B85"/>
    <w:rsid w:val="50246EC8"/>
    <w:rsid w:val="503F0765"/>
    <w:rsid w:val="50425775"/>
    <w:rsid w:val="50550823"/>
    <w:rsid w:val="506555D2"/>
    <w:rsid w:val="50AB678D"/>
    <w:rsid w:val="50BD5B30"/>
    <w:rsid w:val="50BF5593"/>
    <w:rsid w:val="50CC660C"/>
    <w:rsid w:val="50DF2A27"/>
    <w:rsid w:val="511569F5"/>
    <w:rsid w:val="511A0ACB"/>
    <w:rsid w:val="5123120E"/>
    <w:rsid w:val="51247452"/>
    <w:rsid w:val="51286043"/>
    <w:rsid w:val="51484609"/>
    <w:rsid w:val="514D0F37"/>
    <w:rsid w:val="51794CC1"/>
    <w:rsid w:val="51822EEB"/>
    <w:rsid w:val="518B7F00"/>
    <w:rsid w:val="51921236"/>
    <w:rsid w:val="51D17E8A"/>
    <w:rsid w:val="51E57EA5"/>
    <w:rsid w:val="51F415F5"/>
    <w:rsid w:val="522104AA"/>
    <w:rsid w:val="52255E67"/>
    <w:rsid w:val="52272F39"/>
    <w:rsid w:val="52436605"/>
    <w:rsid w:val="52440483"/>
    <w:rsid w:val="524965F5"/>
    <w:rsid w:val="52536B2B"/>
    <w:rsid w:val="526A5E6B"/>
    <w:rsid w:val="528D7650"/>
    <w:rsid w:val="5299767A"/>
    <w:rsid w:val="52AD4099"/>
    <w:rsid w:val="52BB7F89"/>
    <w:rsid w:val="52BE0512"/>
    <w:rsid w:val="52BE6CF9"/>
    <w:rsid w:val="52C23AEB"/>
    <w:rsid w:val="52C94331"/>
    <w:rsid w:val="52DB52C1"/>
    <w:rsid w:val="52DE2016"/>
    <w:rsid w:val="52EF1C4F"/>
    <w:rsid w:val="52FE56D9"/>
    <w:rsid w:val="53020EC0"/>
    <w:rsid w:val="531978BC"/>
    <w:rsid w:val="531B1586"/>
    <w:rsid w:val="531E46B7"/>
    <w:rsid w:val="53295921"/>
    <w:rsid w:val="53342C15"/>
    <w:rsid w:val="533E6E98"/>
    <w:rsid w:val="534E7AD3"/>
    <w:rsid w:val="53681C3A"/>
    <w:rsid w:val="53694C33"/>
    <w:rsid w:val="538734A0"/>
    <w:rsid w:val="53981FAB"/>
    <w:rsid w:val="53A17FE2"/>
    <w:rsid w:val="53AD0F22"/>
    <w:rsid w:val="53AF083B"/>
    <w:rsid w:val="53C44882"/>
    <w:rsid w:val="53F374C5"/>
    <w:rsid w:val="541544FB"/>
    <w:rsid w:val="541C7C40"/>
    <w:rsid w:val="54226F16"/>
    <w:rsid w:val="543547EF"/>
    <w:rsid w:val="543744C9"/>
    <w:rsid w:val="54413194"/>
    <w:rsid w:val="54456F7C"/>
    <w:rsid w:val="54653F08"/>
    <w:rsid w:val="54A469DF"/>
    <w:rsid w:val="54BD5064"/>
    <w:rsid w:val="54C07B3D"/>
    <w:rsid w:val="54C17CEA"/>
    <w:rsid w:val="54CA42D7"/>
    <w:rsid w:val="54CE63BB"/>
    <w:rsid w:val="54DA576F"/>
    <w:rsid w:val="54E35710"/>
    <w:rsid w:val="54F454C9"/>
    <w:rsid w:val="55183D84"/>
    <w:rsid w:val="551E5373"/>
    <w:rsid w:val="552516F8"/>
    <w:rsid w:val="552C20F8"/>
    <w:rsid w:val="555648D7"/>
    <w:rsid w:val="555A0108"/>
    <w:rsid w:val="555E1733"/>
    <w:rsid w:val="557B3026"/>
    <w:rsid w:val="55804060"/>
    <w:rsid w:val="558209BB"/>
    <w:rsid w:val="559D1F13"/>
    <w:rsid w:val="559D7B91"/>
    <w:rsid w:val="55B71FBC"/>
    <w:rsid w:val="55CA2EFB"/>
    <w:rsid w:val="55CC746D"/>
    <w:rsid w:val="55D152A6"/>
    <w:rsid w:val="55D329E2"/>
    <w:rsid w:val="55DA73FC"/>
    <w:rsid w:val="56177D39"/>
    <w:rsid w:val="561F31C5"/>
    <w:rsid w:val="562D29ED"/>
    <w:rsid w:val="56345EBC"/>
    <w:rsid w:val="563F2A3F"/>
    <w:rsid w:val="564575D1"/>
    <w:rsid w:val="56602E24"/>
    <w:rsid w:val="56632BC7"/>
    <w:rsid w:val="566E223B"/>
    <w:rsid w:val="56705FB3"/>
    <w:rsid w:val="568A4637"/>
    <w:rsid w:val="569B6095"/>
    <w:rsid w:val="56A54D8F"/>
    <w:rsid w:val="56A60FEB"/>
    <w:rsid w:val="56A73049"/>
    <w:rsid w:val="56B74ED2"/>
    <w:rsid w:val="56CE11EC"/>
    <w:rsid w:val="56DF6A4C"/>
    <w:rsid w:val="56EB5E49"/>
    <w:rsid w:val="56F40A2A"/>
    <w:rsid w:val="56FE7103"/>
    <w:rsid w:val="57051A8E"/>
    <w:rsid w:val="570F2B7F"/>
    <w:rsid w:val="571C12B4"/>
    <w:rsid w:val="573D11D3"/>
    <w:rsid w:val="57487EC1"/>
    <w:rsid w:val="574F06DB"/>
    <w:rsid w:val="57594140"/>
    <w:rsid w:val="575955EF"/>
    <w:rsid w:val="575C5ED5"/>
    <w:rsid w:val="575D6629"/>
    <w:rsid w:val="575E00D2"/>
    <w:rsid w:val="576A5C75"/>
    <w:rsid w:val="577211BB"/>
    <w:rsid w:val="57792936"/>
    <w:rsid w:val="57813BD5"/>
    <w:rsid w:val="578177A2"/>
    <w:rsid w:val="578A2465"/>
    <w:rsid w:val="57BC3654"/>
    <w:rsid w:val="57C70D19"/>
    <w:rsid w:val="57DE0045"/>
    <w:rsid w:val="57E107DF"/>
    <w:rsid w:val="57ED389B"/>
    <w:rsid w:val="58093C65"/>
    <w:rsid w:val="5835413B"/>
    <w:rsid w:val="58374235"/>
    <w:rsid w:val="583D5457"/>
    <w:rsid w:val="58614300"/>
    <w:rsid w:val="58686E02"/>
    <w:rsid w:val="58A330ED"/>
    <w:rsid w:val="58A94CFE"/>
    <w:rsid w:val="58A97470"/>
    <w:rsid w:val="58BC4058"/>
    <w:rsid w:val="58D35F52"/>
    <w:rsid w:val="58D76DD0"/>
    <w:rsid w:val="58DD70B9"/>
    <w:rsid w:val="58FC7EA8"/>
    <w:rsid w:val="59012557"/>
    <w:rsid w:val="590D176A"/>
    <w:rsid w:val="590D3B09"/>
    <w:rsid w:val="591C5A6B"/>
    <w:rsid w:val="59280474"/>
    <w:rsid w:val="592A069B"/>
    <w:rsid w:val="592E7302"/>
    <w:rsid w:val="59472EF6"/>
    <w:rsid w:val="596455E2"/>
    <w:rsid w:val="597C69BC"/>
    <w:rsid w:val="59900AC4"/>
    <w:rsid w:val="59F4474F"/>
    <w:rsid w:val="59F71524"/>
    <w:rsid w:val="5A1402CC"/>
    <w:rsid w:val="5A1542D8"/>
    <w:rsid w:val="5A1616CE"/>
    <w:rsid w:val="5A307F01"/>
    <w:rsid w:val="5A4009A8"/>
    <w:rsid w:val="5A4F321A"/>
    <w:rsid w:val="5A553C3A"/>
    <w:rsid w:val="5A630199"/>
    <w:rsid w:val="5A775598"/>
    <w:rsid w:val="5A7B11EF"/>
    <w:rsid w:val="5A7B47AD"/>
    <w:rsid w:val="5A841222"/>
    <w:rsid w:val="5ACD1A33"/>
    <w:rsid w:val="5AD93DFD"/>
    <w:rsid w:val="5ADD7ED9"/>
    <w:rsid w:val="5AE048CD"/>
    <w:rsid w:val="5AE21353"/>
    <w:rsid w:val="5AE70B10"/>
    <w:rsid w:val="5B093DCD"/>
    <w:rsid w:val="5B0A4BF1"/>
    <w:rsid w:val="5B180C4A"/>
    <w:rsid w:val="5B463A84"/>
    <w:rsid w:val="5B616B9E"/>
    <w:rsid w:val="5B621210"/>
    <w:rsid w:val="5B6F782C"/>
    <w:rsid w:val="5B786886"/>
    <w:rsid w:val="5B7B115E"/>
    <w:rsid w:val="5B7B305E"/>
    <w:rsid w:val="5B83283B"/>
    <w:rsid w:val="5B9B13DC"/>
    <w:rsid w:val="5BAA5192"/>
    <w:rsid w:val="5BC102E4"/>
    <w:rsid w:val="5BE52144"/>
    <w:rsid w:val="5C0144B9"/>
    <w:rsid w:val="5C04005D"/>
    <w:rsid w:val="5C061F8E"/>
    <w:rsid w:val="5C135C7E"/>
    <w:rsid w:val="5C1B7CA9"/>
    <w:rsid w:val="5C1D433F"/>
    <w:rsid w:val="5C2659E5"/>
    <w:rsid w:val="5C2D1015"/>
    <w:rsid w:val="5C2E23F3"/>
    <w:rsid w:val="5C3F778B"/>
    <w:rsid w:val="5C694C7F"/>
    <w:rsid w:val="5C6F6B15"/>
    <w:rsid w:val="5C8A4E13"/>
    <w:rsid w:val="5C9327DD"/>
    <w:rsid w:val="5CA10A54"/>
    <w:rsid w:val="5CAC1385"/>
    <w:rsid w:val="5CC67DA3"/>
    <w:rsid w:val="5CD01559"/>
    <w:rsid w:val="5D0B1ACB"/>
    <w:rsid w:val="5D210A11"/>
    <w:rsid w:val="5D210D3B"/>
    <w:rsid w:val="5D256785"/>
    <w:rsid w:val="5D2B58FB"/>
    <w:rsid w:val="5D2D3DC3"/>
    <w:rsid w:val="5D354714"/>
    <w:rsid w:val="5D4F5E86"/>
    <w:rsid w:val="5D5D28CB"/>
    <w:rsid w:val="5D5E72A3"/>
    <w:rsid w:val="5D694D29"/>
    <w:rsid w:val="5D7960F6"/>
    <w:rsid w:val="5DA07834"/>
    <w:rsid w:val="5DA6093A"/>
    <w:rsid w:val="5DAD1FB0"/>
    <w:rsid w:val="5DD739DB"/>
    <w:rsid w:val="5DD81327"/>
    <w:rsid w:val="5DE80B25"/>
    <w:rsid w:val="5DFB0D8F"/>
    <w:rsid w:val="5E007C1C"/>
    <w:rsid w:val="5E152D9A"/>
    <w:rsid w:val="5E552D76"/>
    <w:rsid w:val="5E746683"/>
    <w:rsid w:val="5E857E58"/>
    <w:rsid w:val="5E937ADE"/>
    <w:rsid w:val="5E9F1C3F"/>
    <w:rsid w:val="5EA72AA0"/>
    <w:rsid w:val="5EB13C4A"/>
    <w:rsid w:val="5EB74810"/>
    <w:rsid w:val="5EB76065"/>
    <w:rsid w:val="5EF02F9E"/>
    <w:rsid w:val="5EFC0A61"/>
    <w:rsid w:val="5F131521"/>
    <w:rsid w:val="5F1D1E4C"/>
    <w:rsid w:val="5F1E4B43"/>
    <w:rsid w:val="5F41155B"/>
    <w:rsid w:val="5F4C0A83"/>
    <w:rsid w:val="5F5A61A1"/>
    <w:rsid w:val="5F5D46E6"/>
    <w:rsid w:val="5F6760F0"/>
    <w:rsid w:val="5F690596"/>
    <w:rsid w:val="5F9C1CE0"/>
    <w:rsid w:val="5F9D3175"/>
    <w:rsid w:val="5FB8757B"/>
    <w:rsid w:val="5FD26B7E"/>
    <w:rsid w:val="5FDB1CE5"/>
    <w:rsid w:val="5FDD755F"/>
    <w:rsid w:val="5FF34048"/>
    <w:rsid w:val="600123DB"/>
    <w:rsid w:val="60080C2F"/>
    <w:rsid w:val="600B56E4"/>
    <w:rsid w:val="601B6563"/>
    <w:rsid w:val="60214E7D"/>
    <w:rsid w:val="60245D05"/>
    <w:rsid w:val="60357D0F"/>
    <w:rsid w:val="60406228"/>
    <w:rsid w:val="604531C3"/>
    <w:rsid w:val="60580867"/>
    <w:rsid w:val="606C6B0A"/>
    <w:rsid w:val="60715869"/>
    <w:rsid w:val="60805E17"/>
    <w:rsid w:val="60885701"/>
    <w:rsid w:val="608F357D"/>
    <w:rsid w:val="609A42D4"/>
    <w:rsid w:val="60A62EC9"/>
    <w:rsid w:val="60C20704"/>
    <w:rsid w:val="60C76EA0"/>
    <w:rsid w:val="60CB4E2D"/>
    <w:rsid w:val="60D45A91"/>
    <w:rsid w:val="60DD6CEB"/>
    <w:rsid w:val="60E14F3F"/>
    <w:rsid w:val="60E67D23"/>
    <w:rsid w:val="61012BEF"/>
    <w:rsid w:val="61013AC3"/>
    <w:rsid w:val="610931E2"/>
    <w:rsid w:val="61200DEC"/>
    <w:rsid w:val="612A3050"/>
    <w:rsid w:val="612B0C0A"/>
    <w:rsid w:val="6149215A"/>
    <w:rsid w:val="614E68C8"/>
    <w:rsid w:val="61616AE0"/>
    <w:rsid w:val="616361ED"/>
    <w:rsid w:val="616C5FCA"/>
    <w:rsid w:val="617C18D9"/>
    <w:rsid w:val="61944F38"/>
    <w:rsid w:val="619B2336"/>
    <w:rsid w:val="61A5484F"/>
    <w:rsid w:val="61D25561"/>
    <w:rsid w:val="61D35CD1"/>
    <w:rsid w:val="61D37348"/>
    <w:rsid w:val="61DE5889"/>
    <w:rsid w:val="62010E0B"/>
    <w:rsid w:val="620D2908"/>
    <w:rsid w:val="621C1F43"/>
    <w:rsid w:val="623B1E55"/>
    <w:rsid w:val="62410A85"/>
    <w:rsid w:val="625A4D82"/>
    <w:rsid w:val="626A2C7B"/>
    <w:rsid w:val="6284686A"/>
    <w:rsid w:val="62932A54"/>
    <w:rsid w:val="62941657"/>
    <w:rsid w:val="629A06C0"/>
    <w:rsid w:val="62A41EEC"/>
    <w:rsid w:val="62AF4EBA"/>
    <w:rsid w:val="62C03CEF"/>
    <w:rsid w:val="62C62902"/>
    <w:rsid w:val="63041EBE"/>
    <w:rsid w:val="630B24F7"/>
    <w:rsid w:val="632020F3"/>
    <w:rsid w:val="63246D2B"/>
    <w:rsid w:val="632E1F63"/>
    <w:rsid w:val="633621EB"/>
    <w:rsid w:val="63463C30"/>
    <w:rsid w:val="6347137E"/>
    <w:rsid w:val="636730A3"/>
    <w:rsid w:val="63765718"/>
    <w:rsid w:val="637830E2"/>
    <w:rsid w:val="637C6787"/>
    <w:rsid w:val="638C3DED"/>
    <w:rsid w:val="63AC30F8"/>
    <w:rsid w:val="63C50A8F"/>
    <w:rsid w:val="63CC60A6"/>
    <w:rsid w:val="63F2073F"/>
    <w:rsid w:val="63F61235"/>
    <w:rsid w:val="6446657E"/>
    <w:rsid w:val="644E410B"/>
    <w:rsid w:val="64692A6A"/>
    <w:rsid w:val="646A0141"/>
    <w:rsid w:val="646D768E"/>
    <w:rsid w:val="647076DB"/>
    <w:rsid w:val="64727434"/>
    <w:rsid w:val="64840195"/>
    <w:rsid w:val="648A4B78"/>
    <w:rsid w:val="64901BD1"/>
    <w:rsid w:val="649355EA"/>
    <w:rsid w:val="64982C7C"/>
    <w:rsid w:val="64991BB4"/>
    <w:rsid w:val="64B2568A"/>
    <w:rsid w:val="64B51C0D"/>
    <w:rsid w:val="64BD5509"/>
    <w:rsid w:val="64C03C61"/>
    <w:rsid w:val="64C9632A"/>
    <w:rsid w:val="64F8789F"/>
    <w:rsid w:val="64FD2C3A"/>
    <w:rsid w:val="650B5856"/>
    <w:rsid w:val="650E0AF1"/>
    <w:rsid w:val="65216271"/>
    <w:rsid w:val="652352FD"/>
    <w:rsid w:val="6529496A"/>
    <w:rsid w:val="654B1316"/>
    <w:rsid w:val="65566ED6"/>
    <w:rsid w:val="656D0AE4"/>
    <w:rsid w:val="657204B1"/>
    <w:rsid w:val="659271EC"/>
    <w:rsid w:val="659979DF"/>
    <w:rsid w:val="65A802B2"/>
    <w:rsid w:val="65C27D8F"/>
    <w:rsid w:val="65F8256C"/>
    <w:rsid w:val="660173C0"/>
    <w:rsid w:val="661628D9"/>
    <w:rsid w:val="66367681"/>
    <w:rsid w:val="66536777"/>
    <w:rsid w:val="66655CA5"/>
    <w:rsid w:val="666A2D74"/>
    <w:rsid w:val="66896E54"/>
    <w:rsid w:val="66AA55D4"/>
    <w:rsid w:val="66AF7E0E"/>
    <w:rsid w:val="66B1774E"/>
    <w:rsid w:val="66B23A7E"/>
    <w:rsid w:val="66F1473C"/>
    <w:rsid w:val="670D40C7"/>
    <w:rsid w:val="671D59BC"/>
    <w:rsid w:val="672047E0"/>
    <w:rsid w:val="6729337C"/>
    <w:rsid w:val="672A6473"/>
    <w:rsid w:val="67521749"/>
    <w:rsid w:val="675B0B46"/>
    <w:rsid w:val="675B7459"/>
    <w:rsid w:val="676423AF"/>
    <w:rsid w:val="67832B70"/>
    <w:rsid w:val="67866835"/>
    <w:rsid w:val="67935E6D"/>
    <w:rsid w:val="679C6021"/>
    <w:rsid w:val="67BE252F"/>
    <w:rsid w:val="67DD4D3A"/>
    <w:rsid w:val="67E6680A"/>
    <w:rsid w:val="67FF7C12"/>
    <w:rsid w:val="680033BA"/>
    <w:rsid w:val="680B4815"/>
    <w:rsid w:val="681E1040"/>
    <w:rsid w:val="682A7AD6"/>
    <w:rsid w:val="683969BE"/>
    <w:rsid w:val="68446636"/>
    <w:rsid w:val="68535289"/>
    <w:rsid w:val="6863682D"/>
    <w:rsid w:val="686B4497"/>
    <w:rsid w:val="68804DF0"/>
    <w:rsid w:val="68863099"/>
    <w:rsid w:val="68A4162C"/>
    <w:rsid w:val="68A876FB"/>
    <w:rsid w:val="68A90555"/>
    <w:rsid w:val="68AC6F2A"/>
    <w:rsid w:val="68B16618"/>
    <w:rsid w:val="68BC29F2"/>
    <w:rsid w:val="68BE55B7"/>
    <w:rsid w:val="68C53BD5"/>
    <w:rsid w:val="68DA7198"/>
    <w:rsid w:val="68E55B69"/>
    <w:rsid w:val="68F92B8C"/>
    <w:rsid w:val="68F93E3B"/>
    <w:rsid w:val="69233D09"/>
    <w:rsid w:val="692815CF"/>
    <w:rsid w:val="69463E35"/>
    <w:rsid w:val="694C3496"/>
    <w:rsid w:val="694D43A1"/>
    <w:rsid w:val="69581322"/>
    <w:rsid w:val="6971772F"/>
    <w:rsid w:val="69822326"/>
    <w:rsid w:val="69885922"/>
    <w:rsid w:val="699927C4"/>
    <w:rsid w:val="69AE662E"/>
    <w:rsid w:val="69CB37D4"/>
    <w:rsid w:val="69D136A1"/>
    <w:rsid w:val="69D1439C"/>
    <w:rsid w:val="69D87C9F"/>
    <w:rsid w:val="69DF2B56"/>
    <w:rsid w:val="69DF6D80"/>
    <w:rsid w:val="6A215C76"/>
    <w:rsid w:val="6A3942F5"/>
    <w:rsid w:val="6A4044E4"/>
    <w:rsid w:val="6A515DB7"/>
    <w:rsid w:val="6A5806AB"/>
    <w:rsid w:val="6A6D5461"/>
    <w:rsid w:val="6A780722"/>
    <w:rsid w:val="6A98358F"/>
    <w:rsid w:val="6A9B2D92"/>
    <w:rsid w:val="6AB80D7B"/>
    <w:rsid w:val="6ABD33AB"/>
    <w:rsid w:val="6ACB72DC"/>
    <w:rsid w:val="6AD60984"/>
    <w:rsid w:val="6B0E14D1"/>
    <w:rsid w:val="6B100C7D"/>
    <w:rsid w:val="6B174D21"/>
    <w:rsid w:val="6B1B493C"/>
    <w:rsid w:val="6B1D439F"/>
    <w:rsid w:val="6B515115"/>
    <w:rsid w:val="6B5D114E"/>
    <w:rsid w:val="6B752DE4"/>
    <w:rsid w:val="6B7744B0"/>
    <w:rsid w:val="6B7900EB"/>
    <w:rsid w:val="6B906C9B"/>
    <w:rsid w:val="6BA071A3"/>
    <w:rsid w:val="6BA8091C"/>
    <w:rsid w:val="6BAF08D4"/>
    <w:rsid w:val="6BB7436A"/>
    <w:rsid w:val="6BBB704B"/>
    <w:rsid w:val="6BC23CE0"/>
    <w:rsid w:val="6BC55D72"/>
    <w:rsid w:val="6BE20844"/>
    <w:rsid w:val="6C0D29F3"/>
    <w:rsid w:val="6C1E39A9"/>
    <w:rsid w:val="6C316B27"/>
    <w:rsid w:val="6C420FA3"/>
    <w:rsid w:val="6C4D57F2"/>
    <w:rsid w:val="6C5D05D2"/>
    <w:rsid w:val="6C616070"/>
    <w:rsid w:val="6C8476DA"/>
    <w:rsid w:val="6C883F5B"/>
    <w:rsid w:val="6C954A31"/>
    <w:rsid w:val="6CAF3C42"/>
    <w:rsid w:val="6CBB1E35"/>
    <w:rsid w:val="6CBD7E35"/>
    <w:rsid w:val="6CC56FA6"/>
    <w:rsid w:val="6CCC65EF"/>
    <w:rsid w:val="6CD71472"/>
    <w:rsid w:val="6CF304DF"/>
    <w:rsid w:val="6CF55EE7"/>
    <w:rsid w:val="6D0E154C"/>
    <w:rsid w:val="6D290768"/>
    <w:rsid w:val="6D3215BE"/>
    <w:rsid w:val="6D461FC7"/>
    <w:rsid w:val="6D590088"/>
    <w:rsid w:val="6D5A0812"/>
    <w:rsid w:val="6D5F754E"/>
    <w:rsid w:val="6D6C1373"/>
    <w:rsid w:val="6D6D6950"/>
    <w:rsid w:val="6D9D534A"/>
    <w:rsid w:val="6DB849D7"/>
    <w:rsid w:val="6DBC708E"/>
    <w:rsid w:val="6DC04404"/>
    <w:rsid w:val="6DDB529E"/>
    <w:rsid w:val="6DE755A0"/>
    <w:rsid w:val="6DED4D3C"/>
    <w:rsid w:val="6E014D7F"/>
    <w:rsid w:val="6E076FD2"/>
    <w:rsid w:val="6E0B2B13"/>
    <w:rsid w:val="6E1D1874"/>
    <w:rsid w:val="6E3D5776"/>
    <w:rsid w:val="6E5673E4"/>
    <w:rsid w:val="6E5C17A3"/>
    <w:rsid w:val="6E890391"/>
    <w:rsid w:val="6E8B2F81"/>
    <w:rsid w:val="6E917148"/>
    <w:rsid w:val="6E954D77"/>
    <w:rsid w:val="6EA92D81"/>
    <w:rsid w:val="6EB43F50"/>
    <w:rsid w:val="6EE92ED6"/>
    <w:rsid w:val="6EF1234B"/>
    <w:rsid w:val="6EF235B1"/>
    <w:rsid w:val="6F15722E"/>
    <w:rsid w:val="6F1D2D79"/>
    <w:rsid w:val="6F2363F0"/>
    <w:rsid w:val="6F2A414F"/>
    <w:rsid w:val="6F3434A8"/>
    <w:rsid w:val="6F493B46"/>
    <w:rsid w:val="6F4A59EA"/>
    <w:rsid w:val="6F5A70A9"/>
    <w:rsid w:val="6F5D77FF"/>
    <w:rsid w:val="6F683D95"/>
    <w:rsid w:val="6F6B5B61"/>
    <w:rsid w:val="6F751A20"/>
    <w:rsid w:val="6F921CE2"/>
    <w:rsid w:val="6FB04749"/>
    <w:rsid w:val="6FB4393E"/>
    <w:rsid w:val="6FC2151B"/>
    <w:rsid w:val="700A7EF4"/>
    <w:rsid w:val="70175D31"/>
    <w:rsid w:val="7028106A"/>
    <w:rsid w:val="702B5A53"/>
    <w:rsid w:val="702D7B7D"/>
    <w:rsid w:val="70453A4F"/>
    <w:rsid w:val="704656C0"/>
    <w:rsid w:val="704C4ABB"/>
    <w:rsid w:val="70760167"/>
    <w:rsid w:val="707C2022"/>
    <w:rsid w:val="70827302"/>
    <w:rsid w:val="70864D54"/>
    <w:rsid w:val="70AD5EA2"/>
    <w:rsid w:val="70B64B80"/>
    <w:rsid w:val="70B8500F"/>
    <w:rsid w:val="70C57F50"/>
    <w:rsid w:val="70FD2B10"/>
    <w:rsid w:val="71095E69"/>
    <w:rsid w:val="710D3ECF"/>
    <w:rsid w:val="711B7CFC"/>
    <w:rsid w:val="71276F82"/>
    <w:rsid w:val="714042ED"/>
    <w:rsid w:val="71445C44"/>
    <w:rsid w:val="714638BD"/>
    <w:rsid w:val="715A7CB0"/>
    <w:rsid w:val="716274B0"/>
    <w:rsid w:val="716A7BCC"/>
    <w:rsid w:val="719A2377"/>
    <w:rsid w:val="71A34CF3"/>
    <w:rsid w:val="71AD63D6"/>
    <w:rsid w:val="71CC3834"/>
    <w:rsid w:val="71DF51DE"/>
    <w:rsid w:val="71E23F89"/>
    <w:rsid w:val="71E92075"/>
    <w:rsid w:val="71EB6ADD"/>
    <w:rsid w:val="720B6EA2"/>
    <w:rsid w:val="720C6AD1"/>
    <w:rsid w:val="721E1AF0"/>
    <w:rsid w:val="721E4041"/>
    <w:rsid w:val="72247B32"/>
    <w:rsid w:val="7238710C"/>
    <w:rsid w:val="726D788D"/>
    <w:rsid w:val="72867FFB"/>
    <w:rsid w:val="729D6426"/>
    <w:rsid w:val="72A01749"/>
    <w:rsid w:val="72C05FC8"/>
    <w:rsid w:val="72C07712"/>
    <w:rsid w:val="72D00B0F"/>
    <w:rsid w:val="72F94BAD"/>
    <w:rsid w:val="732E0D06"/>
    <w:rsid w:val="73301AE1"/>
    <w:rsid w:val="73577DDB"/>
    <w:rsid w:val="735B2617"/>
    <w:rsid w:val="73693EA2"/>
    <w:rsid w:val="736C5F5D"/>
    <w:rsid w:val="73BD6B95"/>
    <w:rsid w:val="73C31874"/>
    <w:rsid w:val="73D40106"/>
    <w:rsid w:val="73D8072B"/>
    <w:rsid w:val="73E01954"/>
    <w:rsid w:val="73ED5541"/>
    <w:rsid w:val="74065010"/>
    <w:rsid w:val="74090274"/>
    <w:rsid w:val="7417576C"/>
    <w:rsid w:val="741D247B"/>
    <w:rsid w:val="74244350"/>
    <w:rsid w:val="742C7BDD"/>
    <w:rsid w:val="74310A7E"/>
    <w:rsid w:val="74391764"/>
    <w:rsid w:val="74470A4E"/>
    <w:rsid w:val="74652B22"/>
    <w:rsid w:val="74696DC2"/>
    <w:rsid w:val="747A3CC4"/>
    <w:rsid w:val="7482533E"/>
    <w:rsid w:val="74980627"/>
    <w:rsid w:val="74997961"/>
    <w:rsid w:val="749B50A4"/>
    <w:rsid w:val="74BB1DC1"/>
    <w:rsid w:val="74C83AAD"/>
    <w:rsid w:val="74CB2D70"/>
    <w:rsid w:val="74EB0F91"/>
    <w:rsid w:val="74F76C4F"/>
    <w:rsid w:val="75036B26"/>
    <w:rsid w:val="7527591C"/>
    <w:rsid w:val="75473880"/>
    <w:rsid w:val="7552143B"/>
    <w:rsid w:val="75617D5A"/>
    <w:rsid w:val="7568437A"/>
    <w:rsid w:val="758801E9"/>
    <w:rsid w:val="7599657A"/>
    <w:rsid w:val="75A47795"/>
    <w:rsid w:val="75BD18FC"/>
    <w:rsid w:val="75CC3E08"/>
    <w:rsid w:val="75D24225"/>
    <w:rsid w:val="75F801BC"/>
    <w:rsid w:val="76186119"/>
    <w:rsid w:val="763101D4"/>
    <w:rsid w:val="76603301"/>
    <w:rsid w:val="766251DD"/>
    <w:rsid w:val="76740F1E"/>
    <w:rsid w:val="767439D0"/>
    <w:rsid w:val="76994A7B"/>
    <w:rsid w:val="76EF4737"/>
    <w:rsid w:val="77177990"/>
    <w:rsid w:val="772B62DB"/>
    <w:rsid w:val="773425D8"/>
    <w:rsid w:val="77364A72"/>
    <w:rsid w:val="7737099C"/>
    <w:rsid w:val="774425D0"/>
    <w:rsid w:val="775206BE"/>
    <w:rsid w:val="77585924"/>
    <w:rsid w:val="777C26B4"/>
    <w:rsid w:val="777D5E53"/>
    <w:rsid w:val="77A94803"/>
    <w:rsid w:val="77B12582"/>
    <w:rsid w:val="77B449D2"/>
    <w:rsid w:val="77BA1699"/>
    <w:rsid w:val="77DF061C"/>
    <w:rsid w:val="77E951DA"/>
    <w:rsid w:val="780C1442"/>
    <w:rsid w:val="780F17E0"/>
    <w:rsid w:val="78151B38"/>
    <w:rsid w:val="78154684"/>
    <w:rsid w:val="781A46D2"/>
    <w:rsid w:val="781C533D"/>
    <w:rsid w:val="782B07D3"/>
    <w:rsid w:val="78306B6C"/>
    <w:rsid w:val="78340398"/>
    <w:rsid w:val="784309E5"/>
    <w:rsid w:val="78434C75"/>
    <w:rsid w:val="7855240C"/>
    <w:rsid w:val="78836654"/>
    <w:rsid w:val="788D0113"/>
    <w:rsid w:val="78A93C2D"/>
    <w:rsid w:val="78B03770"/>
    <w:rsid w:val="78BA658F"/>
    <w:rsid w:val="78BE0FF9"/>
    <w:rsid w:val="78DA7811"/>
    <w:rsid w:val="78E674C1"/>
    <w:rsid w:val="78F20B6E"/>
    <w:rsid w:val="7937496A"/>
    <w:rsid w:val="794725B4"/>
    <w:rsid w:val="7973224D"/>
    <w:rsid w:val="798175E5"/>
    <w:rsid w:val="7991182E"/>
    <w:rsid w:val="79A612B2"/>
    <w:rsid w:val="79D92139"/>
    <w:rsid w:val="79D96905"/>
    <w:rsid w:val="79DC647D"/>
    <w:rsid w:val="79DE66DA"/>
    <w:rsid w:val="79E50F9E"/>
    <w:rsid w:val="7A09557F"/>
    <w:rsid w:val="7A103C9B"/>
    <w:rsid w:val="7A1C4DFB"/>
    <w:rsid w:val="7A4A2ADD"/>
    <w:rsid w:val="7A5073FE"/>
    <w:rsid w:val="7A5B2271"/>
    <w:rsid w:val="7A656080"/>
    <w:rsid w:val="7A6E0552"/>
    <w:rsid w:val="7A750452"/>
    <w:rsid w:val="7A85352B"/>
    <w:rsid w:val="7AA30883"/>
    <w:rsid w:val="7AB34C51"/>
    <w:rsid w:val="7AC246E4"/>
    <w:rsid w:val="7AD42736"/>
    <w:rsid w:val="7AEA6821"/>
    <w:rsid w:val="7B14332E"/>
    <w:rsid w:val="7B221A76"/>
    <w:rsid w:val="7B4A57C5"/>
    <w:rsid w:val="7B67181B"/>
    <w:rsid w:val="7B7A59E8"/>
    <w:rsid w:val="7B834DE1"/>
    <w:rsid w:val="7B904A73"/>
    <w:rsid w:val="7B9B3B06"/>
    <w:rsid w:val="7BBD2AD1"/>
    <w:rsid w:val="7BC774F9"/>
    <w:rsid w:val="7C1003A0"/>
    <w:rsid w:val="7C17107C"/>
    <w:rsid w:val="7C2F0B3A"/>
    <w:rsid w:val="7C3E4F86"/>
    <w:rsid w:val="7C6739C4"/>
    <w:rsid w:val="7C71755F"/>
    <w:rsid w:val="7C9712F4"/>
    <w:rsid w:val="7C9F01CF"/>
    <w:rsid w:val="7CA11A08"/>
    <w:rsid w:val="7CB16E02"/>
    <w:rsid w:val="7CD755AC"/>
    <w:rsid w:val="7CE0054D"/>
    <w:rsid w:val="7CE30F37"/>
    <w:rsid w:val="7CE92E5D"/>
    <w:rsid w:val="7CEB3E33"/>
    <w:rsid w:val="7CFB4465"/>
    <w:rsid w:val="7D0B0D5D"/>
    <w:rsid w:val="7D1B37C6"/>
    <w:rsid w:val="7D396B9C"/>
    <w:rsid w:val="7D3B01CC"/>
    <w:rsid w:val="7D401718"/>
    <w:rsid w:val="7D4452AD"/>
    <w:rsid w:val="7D492120"/>
    <w:rsid w:val="7D4E7F25"/>
    <w:rsid w:val="7D5516F3"/>
    <w:rsid w:val="7D566CF4"/>
    <w:rsid w:val="7D6B47C6"/>
    <w:rsid w:val="7D6E1E08"/>
    <w:rsid w:val="7D7E64EC"/>
    <w:rsid w:val="7D812E66"/>
    <w:rsid w:val="7D9608B1"/>
    <w:rsid w:val="7D97175F"/>
    <w:rsid w:val="7D9A38A3"/>
    <w:rsid w:val="7DE22C39"/>
    <w:rsid w:val="7DE466EA"/>
    <w:rsid w:val="7DED01FF"/>
    <w:rsid w:val="7E0537EB"/>
    <w:rsid w:val="7E056087"/>
    <w:rsid w:val="7E0E76D0"/>
    <w:rsid w:val="7E1B3C19"/>
    <w:rsid w:val="7E307C52"/>
    <w:rsid w:val="7E643B35"/>
    <w:rsid w:val="7E6B2F5B"/>
    <w:rsid w:val="7E6B4A29"/>
    <w:rsid w:val="7E6E2528"/>
    <w:rsid w:val="7E74494B"/>
    <w:rsid w:val="7E7E3951"/>
    <w:rsid w:val="7E891A65"/>
    <w:rsid w:val="7E8A14EB"/>
    <w:rsid w:val="7E904581"/>
    <w:rsid w:val="7E9A416D"/>
    <w:rsid w:val="7EA16B20"/>
    <w:rsid w:val="7EA57A42"/>
    <w:rsid w:val="7EAB7E6A"/>
    <w:rsid w:val="7EB83868"/>
    <w:rsid w:val="7EC56809"/>
    <w:rsid w:val="7EC941EE"/>
    <w:rsid w:val="7EE34C48"/>
    <w:rsid w:val="7EEC7F90"/>
    <w:rsid w:val="7F00499B"/>
    <w:rsid w:val="7F086E7F"/>
    <w:rsid w:val="7F1047FB"/>
    <w:rsid w:val="7F1135E0"/>
    <w:rsid w:val="7F2337C4"/>
    <w:rsid w:val="7F2465D5"/>
    <w:rsid w:val="7F3148FE"/>
    <w:rsid w:val="7F385DFF"/>
    <w:rsid w:val="7F72181F"/>
    <w:rsid w:val="7F775B8B"/>
    <w:rsid w:val="7F9267BD"/>
    <w:rsid w:val="7FA523F9"/>
    <w:rsid w:val="7FC3659F"/>
    <w:rsid w:val="7FE22705"/>
    <w:rsid w:val="7FF57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0" w:firstLineChars="200"/>
      <w:jc w:val="both"/>
    </w:pPr>
    <w:rPr>
      <w:rFonts w:ascii="仿宋_GB2312" w:eastAsia="仿宋_GB2312" w:hAnsiTheme="minorHAnsi" w:cstheme="minorBidi"/>
      <w:kern w:val="2"/>
      <w:sz w:val="28"/>
      <w:szCs w:val="24"/>
      <w:lang w:val="en-US" w:eastAsia="zh-CN" w:bidi="ar-SA"/>
    </w:rPr>
  </w:style>
  <w:style w:type="paragraph" w:styleId="4">
    <w:name w:val="heading 1"/>
    <w:basedOn w:val="1"/>
    <w:next w:val="1"/>
    <w:link w:val="28"/>
    <w:qFormat/>
    <w:uiPriority w:val="0"/>
    <w:pPr>
      <w:ind w:firstLine="200"/>
      <w:outlineLvl w:val="0"/>
    </w:pPr>
    <w:rPr>
      <w:rFonts w:eastAsia="黑体"/>
      <w:bCs/>
      <w:kern w:val="44"/>
      <w:szCs w:val="44"/>
    </w:rPr>
  </w:style>
  <w:style w:type="paragraph" w:styleId="5">
    <w:name w:val="heading 2"/>
    <w:basedOn w:val="1"/>
    <w:next w:val="1"/>
    <w:unhideWhenUsed/>
    <w:qFormat/>
    <w:uiPriority w:val="0"/>
    <w:pPr>
      <w:ind w:firstLine="200"/>
      <w:outlineLvl w:val="1"/>
    </w:pPr>
    <w:rPr>
      <w:rFonts w:ascii="Arial" w:hAnsi="Arial" w:eastAsia="楷体_GB2312"/>
    </w:rPr>
  </w:style>
  <w:style w:type="paragraph" w:styleId="6">
    <w:name w:val="heading 3"/>
    <w:basedOn w:val="1"/>
    <w:next w:val="1"/>
    <w:unhideWhenUsed/>
    <w:qFormat/>
    <w:uiPriority w:val="0"/>
    <w:pPr>
      <w:ind w:firstLine="200"/>
      <w:outlineLvl w:val="2"/>
    </w:pPr>
    <w:rPr>
      <w:b/>
      <w:bCs/>
      <w:szCs w:val="32"/>
    </w:rPr>
  </w:style>
  <w:style w:type="paragraph" w:styleId="7">
    <w:name w:val="heading 4"/>
    <w:basedOn w:val="1"/>
    <w:next w:val="1"/>
    <w:unhideWhenUsed/>
    <w:qFormat/>
    <w:uiPriority w:val="0"/>
    <w:pPr>
      <w:ind w:firstLine="0" w:firstLineChars="0"/>
      <w:jc w:val="center"/>
      <w:outlineLvl w:val="3"/>
    </w:pPr>
    <w:rPr>
      <w:rFonts w:ascii="宋体" w:hAnsi="宋体" w:eastAsia="宋体" w:cstheme="majorBidi"/>
      <w:bCs/>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before="120"/>
    </w:pPr>
  </w:style>
  <w:style w:type="paragraph" w:styleId="3">
    <w:name w:val="Plain Text"/>
    <w:basedOn w:val="1"/>
    <w:qFormat/>
    <w:uiPriority w:val="0"/>
    <w:rPr>
      <w:rFonts w:ascii="宋体" w:hAnsi="Courier New"/>
      <w:szCs w:val="20"/>
    </w:rPr>
  </w:style>
  <w:style w:type="paragraph" w:styleId="8">
    <w:name w:val="Body Text Indent"/>
    <w:basedOn w:val="1"/>
    <w:qFormat/>
    <w:uiPriority w:val="0"/>
    <w:pPr>
      <w:spacing w:after="120"/>
      <w:ind w:left="420" w:leftChars="200"/>
    </w:pPr>
  </w:style>
  <w:style w:type="paragraph" w:styleId="9">
    <w:name w:val="Body Text Indent 2"/>
    <w:basedOn w:val="1"/>
    <w:semiHidden/>
    <w:unhideWhenUsed/>
    <w:qFormat/>
    <w:uiPriority w:val="99"/>
    <w:pPr>
      <w:spacing w:after="120" w:line="480" w:lineRule="auto"/>
      <w:ind w:left="420" w:leftChars="200"/>
    </w:p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Body Text First Indent 2"/>
    <w:basedOn w:val="8"/>
    <w:qFormat/>
    <w:uiPriority w:val="0"/>
    <w:pPr>
      <w:ind w:firstLine="420"/>
    </w:pPr>
  </w:style>
  <w:style w:type="table" w:styleId="17">
    <w:name w:val="Table Grid"/>
    <w:basedOn w:val="16"/>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9">
    <w:name w:val="FollowedHyperlink"/>
    <w:basedOn w:val="18"/>
    <w:qFormat/>
    <w:uiPriority w:val="0"/>
    <w:rPr>
      <w:color w:val="333333"/>
      <w:u w:val="none"/>
    </w:rPr>
  </w:style>
  <w:style w:type="character" w:customStyle="1" w:styleId="20">
    <w:name w:val="font31"/>
    <w:basedOn w:val="18"/>
    <w:qFormat/>
    <w:uiPriority w:val="0"/>
    <w:rPr>
      <w:rFonts w:hint="eastAsia" w:ascii="宋体" w:hAnsi="宋体" w:eastAsia="宋体" w:cs="宋体"/>
      <w:color w:val="000000"/>
      <w:sz w:val="18"/>
      <w:szCs w:val="18"/>
      <w:u w:val="none"/>
      <w:vertAlign w:val="superscript"/>
    </w:rPr>
  </w:style>
  <w:style w:type="character" w:customStyle="1" w:styleId="21">
    <w:name w:val="font11"/>
    <w:basedOn w:val="18"/>
    <w:qFormat/>
    <w:uiPriority w:val="0"/>
    <w:rPr>
      <w:rFonts w:hint="eastAsia" w:ascii="宋体" w:hAnsi="宋体" w:eastAsia="宋体" w:cs="宋体"/>
      <w:color w:val="000000"/>
      <w:sz w:val="18"/>
      <w:szCs w:val="18"/>
      <w:u w:val="none"/>
    </w:rPr>
  </w:style>
  <w:style w:type="paragraph" w:customStyle="1" w:styleId="22">
    <w:name w:val="WPSOffice手动目录 1"/>
    <w:qFormat/>
    <w:uiPriority w:val="0"/>
    <w:pPr>
      <w:ind w:leftChars="0"/>
    </w:pPr>
    <w:rPr>
      <w:rFonts w:ascii="Times New Roman" w:hAnsi="Times New Roman" w:eastAsia="宋体" w:cs="Times New Roman"/>
      <w:sz w:val="20"/>
      <w:szCs w:val="20"/>
    </w:rPr>
  </w:style>
  <w:style w:type="paragraph" w:customStyle="1" w:styleId="23">
    <w:name w:val="WPSOffice手动目录 2"/>
    <w:qFormat/>
    <w:uiPriority w:val="0"/>
    <w:pPr>
      <w:ind w:leftChars="200"/>
    </w:pPr>
    <w:rPr>
      <w:rFonts w:ascii="Times New Roman" w:hAnsi="Times New Roman" w:eastAsia="宋体" w:cs="Times New Roman"/>
      <w:sz w:val="20"/>
      <w:szCs w:val="20"/>
    </w:rPr>
  </w:style>
  <w:style w:type="paragraph" w:customStyle="1" w:styleId="24">
    <w:name w:val="正文1"/>
    <w:basedOn w:val="1"/>
    <w:qFormat/>
    <w:uiPriority w:val="0"/>
    <w:pPr>
      <w:autoSpaceDE w:val="0"/>
      <w:autoSpaceDN w:val="0"/>
      <w:spacing w:line="240" w:lineRule="auto"/>
      <w:ind w:firstLine="723"/>
      <w:jc w:val="left"/>
    </w:pPr>
    <w:rPr>
      <w:rFonts w:ascii="Times New Roman" w:hAnsi="Times New Roman" w:eastAsia="仿宋" w:cs="Times New Roman"/>
      <w:kern w:val="0"/>
      <w:szCs w:val="22"/>
      <w:lang w:val="zh-CN" w:bidi="zh-CN"/>
    </w:rPr>
  </w:style>
  <w:style w:type="paragraph" w:styleId="25">
    <w:name w:val="List Paragraph"/>
    <w:basedOn w:val="1"/>
    <w:qFormat/>
    <w:uiPriority w:val="34"/>
    <w:pPr>
      <w:ind w:firstLine="420" w:firstLineChars="200"/>
    </w:pPr>
  </w:style>
  <w:style w:type="paragraph" w:customStyle="1" w:styleId="26">
    <w:name w:val="绩效评价正文"/>
    <w:basedOn w:val="1"/>
    <w:qFormat/>
    <w:uiPriority w:val="0"/>
    <w:pPr>
      <w:overflowPunct w:val="0"/>
      <w:ind w:firstLine="640"/>
    </w:pPr>
    <w:rPr>
      <w:rFonts w:hAnsi="仿宋_GB2312" w:cs="Times New Roman"/>
      <w:szCs w:val="32"/>
    </w:rPr>
  </w:style>
  <w:style w:type="paragraph" w:customStyle="1" w:styleId="27">
    <w:name w:val="闻政正文"/>
    <w:basedOn w:val="1"/>
    <w:next w:val="1"/>
    <w:qFormat/>
    <w:uiPriority w:val="0"/>
    <w:pPr>
      <w:overflowPunct w:val="0"/>
      <w:spacing w:line="500" w:lineRule="exact"/>
    </w:pPr>
    <w:rPr>
      <w:rFonts w:ascii="Times New Roman" w:hAnsi="Times New Roman" w:cs="Times New Roman"/>
      <w:kern w:val="0"/>
      <w:szCs w:val="28"/>
    </w:rPr>
  </w:style>
  <w:style w:type="character" w:customStyle="1" w:styleId="28">
    <w:name w:val="标题 1 Char"/>
    <w:link w:val="4"/>
    <w:qFormat/>
    <w:uiPriority w:val="0"/>
    <w:rPr>
      <w:rFonts w:eastAsia="黑体"/>
      <w:bCs/>
      <w:kern w:val="44"/>
      <w:szCs w:val="44"/>
    </w:rPr>
  </w:style>
  <w:style w:type="table" w:customStyle="1" w:styleId="2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3.jpe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37458</Words>
  <Characters>41858</Characters>
  <Lines>0</Lines>
  <Paragraphs>0</Paragraphs>
  <TotalTime>8</TotalTime>
  <ScaleCrop>false</ScaleCrop>
  <LinksUpToDate>false</LinksUpToDate>
  <CharactersWithSpaces>42233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2021-01-29T00:50:00Z</dcterms:created>
  <dc:creator>跟空气撒个娇</dc:creator>
  <cp:lastModifiedBy>李智勇</cp:lastModifiedBy>
  <cp:lastPrinted>2022-02-26T01:23:00Z</cp:lastPrinted>
  <dcterms:modified xsi:type="dcterms:W3CDTF">2022-09-13T11:24:07Z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05E89746599B41EE9ACC042FBAE5E96B</vt:lpwstr>
  </property>
</Properties>
</file>