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keepNext w:val="0"/>
        <w:keepLines w:val="0"/>
        <w:pageBreakBefore w:val="0"/>
        <w:widowControl w:val="0"/>
        <w:kinsoku/>
        <w:wordWrap/>
        <w:overflowPunct/>
        <w:topLinePunct w:val="0"/>
        <w:bidi w:val="0"/>
        <w:snapToGrid/>
        <w:spacing w:before="157" w:beforeLines="50" w:after="157" w:afterLines="50"/>
        <w:jc w:val="center"/>
        <w:textAlignment w:val="auto"/>
        <w:rPr>
          <w:rFonts w:hint="eastAsia" w:ascii="方正小标宋简体" w:hAnsi="方正小标宋简体" w:eastAsia="方正小标宋简体" w:cs="方正小标宋简体"/>
          <w:b w:val="0"/>
          <w:bCs w:val="0"/>
          <w:kern w:val="2"/>
          <w:sz w:val="44"/>
          <w:szCs w:val="44"/>
          <w:highlight w:val="none"/>
          <w:lang w:val="en-US" w:eastAsia="zh-CN" w:bidi="ar-SA"/>
        </w:rPr>
      </w:pPr>
    </w:p>
    <w:p>
      <w:pPr>
        <w:pStyle w:val="7"/>
        <w:keepNext w:val="0"/>
        <w:keepLines w:val="0"/>
        <w:pageBreakBefore w:val="0"/>
        <w:widowControl w:val="0"/>
        <w:kinsoku/>
        <w:wordWrap/>
        <w:overflowPunct/>
        <w:topLinePunct w:val="0"/>
        <w:bidi w:val="0"/>
        <w:snapToGrid/>
        <w:spacing w:before="157" w:beforeLines="50" w:after="157" w:afterLines="50"/>
        <w:jc w:val="center"/>
        <w:textAlignment w:val="auto"/>
        <w:rPr>
          <w:rFonts w:hint="eastAsia" w:ascii="方正小标宋简体" w:hAnsi="方正小标宋简体" w:eastAsia="方正小标宋简体" w:cs="方正小标宋简体"/>
          <w:b w:val="0"/>
          <w:bCs w:val="0"/>
          <w:kern w:val="2"/>
          <w:sz w:val="44"/>
          <w:szCs w:val="44"/>
          <w:highlight w:val="none"/>
          <w:lang w:val="en-US" w:eastAsia="zh-CN" w:bidi="ar-SA"/>
        </w:rPr>
      </w:pPr>
      <w:r>
        <w:rPr>
          <w:rFonts w:hint="eastAsia" w:ascii="方正小标宋简体" w:hAnsi="方正小标宋简体" w:eastAsia="方正小标宋简体" w:cs="方正小标宋简体"/>
          <w:b w:val="0"/>
          <w:bCs w:val="0"/>
          <w:kern w:val="2"/>
          <w:sz w:val="44"/>
          <w:szCs w:val="44"/>
          <w:highlight w:val="none"/>
          <w:lang w:val="en-US" w:eastAsia="zh-CN" w:bidi="ar-SA"/>
        </w:rPr>
        <w:t>宁武县文化和旅游局2020年统筹整合</w:t>
      </w:r>
    </w:p>
    <w:p>
      <w:pPr>
        <w:pStyle w:val="7"/>
        <w:keepNext w:val="0"/>
        <w:keepLines w:val="0"/>
        <w:pageBreakBefore w:val="0"/>
        <w:widowControl w:val="0"/>
        <w:kinsoku/>
        <w:wordWrap/>
        <w:overflowPunct/>
        <w:topLinePunct w:val="0"/>
        <w:bidi w:val="0"/>
        <w:snapToGrid/>
        <w:spacing w:before="157" w:beforeLines="50" w:after="157" w:afterLines="50"/>
        <w:jc w:val="center"/>
        <w:textAlignment w:val="auto"/>
        <w:rPr>
          <w:rFonts w:hint="eastAsia" w:ascii="方正小标宋简体" w:hAnsi="方正小标宋简体" w:eastAsia="方正小标宋简体" w:cs="方正小标宋简体"/>
          <w:b w:val="0"/>
          <w:bCs w:val="0"/>
          <w:kern w:val="2"/>
          <w:sz w:val="44"/>
          <w:szCs w:val="44"/>
          <w:highlight w:val="none"/>
          <w:lang w:val="en-US" w:eastAsia="zh-CN" w:bidi="ar-SA"/>
        </w:rPr>
      </w:pPr>
      <w:r>
        <w:rPr>
          <w:rFonts w:hint="eastAsia" w:ascii="方正小标宋简体" w:hAnsi="方正小标宋简体" w:eastAsia="方正小标宋简体" w:cs="方正小标宋简体"/>
          <w:b w:val="0"/>
          <w:bCs w:val="0"/>
          <w:kern w:val="2"/>
          <w:sz w:val="44"/>
          <w:szCs w:val="44"/>
          <w:highlight w:val="none"/>
          <w:lang w:val="en-US" w:eastAsia="zh-CN" w:bidi="ar-SA"/>
        </w:rPr>
        <w:t>财政资金绩效评价报告</w:t>
      </w:r>
    </w:p>
    <w:p>
      <w:pPr>
        <w:pStyle w:val="2"/>
        <w:jc w:val="center"/>
        <w:rPr>
          <w:rFonts w:hint="eastAsia" w:ascii="方正小标宋简体" w:hAnsi="方正小标宋简体" w:eastAsia="方正小标宋简体" w:cs="方正小标宋简体"/>
          <w:b w:val="0"/>
          <w:bCs w:val="0"/>
          <w:kern w:val="2"/>
          <w:sz w:val="44"/>
          <w:szCs w:val="44"/>
          <w:highlight w:val="none"/>
          <w:lang w:val="en-US" w:eastAsia="zh-CN" w:bidi="ar-SA"/>
        </w:rPr>
      </w:pPr>
    </w:p>
    <w:p>
      <w:pPr>
        <w:pStyle w:val="2"/>
        <w:jc w:val="center"/>
        <w:rPr>
          <w:rFonts w:hint="eastAsia" w:ascii="方正小标宋简体" w:hAnsi="方正小标宋简体" w:eastAsia="方正小标宋简体" w:cs="方正小标宋简体"/>
          <w:b w:val="0"/>
          <w:bCs w:val="0"/>
          <w:kern w:val="2"/>
          <w:sz w:val="44"/>
          <w:szCs w:val="44"/>
          <w:highlight w:val="none"/>
          <w:lang w:val="en-US" w:eastAsia="zh-CN" w:bidi="ar-SA"/>
        </w:rPr>
      </w:pPr>
    </w:p>
    <w:p>
      <w:pPr>
        <w:pStyle w:val="2"/>
        <w:jc w:val="center"/>
        <w:rPr>
          <w:rFonts w:hint="eastAsia" w:ascii="方正小标宋简体" w:hAnsi="方正小标宋简体" w:eastAsia="方正小标宋简体" w:cs="方正小标宋简体"/>
          <w:b w:val="0"/>
          <w:bCs w:val="0"/>
          <w:kern w:val="2"/>
          <w:sz w:val="44"/>
          <w:szCs w:val="44"/>
          <w:highlight w:val="none"/>
          <w:lang w:val="en-US" w:eastAsia="zh-CN" w:bidi="ar-SA"/>
        </w:rPr>
      </w:pPr>
    </w:p>
    <w:p>
      <w:pPr>
        <w:pStyle w:val="2"/>
        <w:jc w:val="both"/>
        <w:rPr>
          <w:rFonts w:hint="eastAsia" w:ascii="方正小标宋简体" w:hAnsi="方正小标宋简体" w:eastAsia="方正小标宋简体" w:cs="方正小标宋简体"/>
          <w:b w:val="0"/>
          <w:bCs w:val="0"/>
          <w:kern w:val="2"/>
          <w:sz w:val="44"/>
          <w:szCs w:val="44"/>
          <w:highlight w:val="none"/>
          <w:lang w:val="en-US" w:eastAsia="zh-CN" w:bidi="ar-SA"/>
        </w:rPr>
      </w:pPr>
    </w:p>
    <w:p>
      <w:pPr>
        <w:pStyle w:val="2"/>
        <w:jc w:val="both"/>
        <w:rPr>
          <w:rFonts w:hint="eastAsia" w:ascii="方正小标宋简体" w:hAnsi="方正小标宋简体" w:eastAsia="方正小标宋简体" w:cs="方正小标宋简体"/>
          <w:b w:val="0"/>
          <w:bCs w:val="0"/>
          <w:kern w:val="2"/>
          <w:sz w:val="44"/>
          <w:szCs w:val="44"/>
          <w:highlight w:val="none"/>
          <w:lang w:val="en-US" w:eastAsia="zh-CN" w:bidi="ar-SA"/>
        </w:rPr>
      </w:pPr>
    </w:p>
    <w:p>
      <w:pPr>
        <w:pStyle w:val="2"/>
        <w:jc w:val="center"/>
        <w:rPr>
          <w:rFonts w:hint="eastAsia" w:ascii="方正小标宋简体" w:hAnsi="方正小标宋简体" w:eastAsia="方正小标宋简体" w:cs="方正小标宋简体"/>
          <w:b w:val="0"/>
          <w:bCs w:val="0"/>
          <w:kern w:val="2"/>
          <w:sz w:val="44"/>
          <w:szCs w:val="44"/>
          <w:highlight w:val="none"/>
          <w:lang w:val="en-US" w:eastAsia="zh-CN" w:bidi="ar-SA"/>
        </w:rPr>
      </w:pPr>
    </w:p>
    <w:p>
      <w:pPr>
        <w:autoSpaceDE w:val="0"/>
        <w:autoSpaceDN w:val="0"/>
        <w:adjustRightInd w:val="0"/>
        <w:spacing w:line="600" w:lineRule="atLeast"/>
        <w:ind w:left="210" w:leftChars="100" w:firstLine="320" w:firstLineChars="100"/>
        <w:jc w:val="left"/>
        <w:rPr>
          <w:rFonts w:hint="default" w:ascii="黑体" w:hAnsi="黑体" w:eastAsia="黑体" w:cs="黑体"/>
          <w:b w:val="0"/>
          <w:bCs w:val="0"/>
          <w:kern w:val="0"/>
          <w:sz w:val="32"/>
          <w:szCs w:val="32"/>
          <w:lang w:val="en-US" w:eastAsia="zh-CN"/>
        </w:rPr>
      </w:pPr>
      <w:r>
        <w:rPr>
          <w:rFonts w:hint="eastAsia" w:ascii="黑体" w:hAnsi="黑体" w:eastAsia="黑体" w:cs="黑体"/>
          <w:b w:val="0"/>
          <w:bCs w:val="0"/>
          <w:kern w:val="0"/>
          <w:sz w:val="32"/>
          <w:szCs w:val="32"/>
          <w:lang w:val="en-US" w:eastAsia="zh-CN"/>
        </w:rPr>
        <w:t>单位名称</w:t>
      </w:r>
      <w:r>
        <w:rPr>
          <w:rFonts w:hint="eastAsia" w:ascii="黑体" w:hAnsi="黑体" w:eastAsia="黑体" w:cs="黑体"/>
          <w:b w:val="0"/>
          <w:bCs w:val="0"/>
          <w:kern w:val="0"/>
          <w:sz w:val="32"/>
          <w:szCs w:val="32"/>
        </w:rPr>
        <w:t>：</w:t>
      </w:r>
      <w:r>
        <w:rPr>
          <w:rFonts w:hint="eastAsia" w:ascii="黑体" w:hAnsi="黑体" w:eastAsia="黑体" w:cs="黑体"/>
          <w:b w:val="0"/>
          <w:bCs w:val="0"/>
          <w:kern w:val="0"/>
          <w:sz w:val="32"/>
          <w:szCs w:val="32"/>
          <w:lang w:val="en-US" w:eastAsia="zh-CN"/>
        </w:rPr>
        <w:t>宁武县文化和旅游局</w:t>
      </w:r>
    </w:p>
    <w:p>
      <w:pPr>
        <w:autoSpaceDE w:val="0"/>
        <w:autoSpaceDN w:val="0"/>
        <w:adjustRightInd w:val="0"/>
        <w:spacing w:line="600" w:lineRule="atLeast"/>
        <w:ind w:left="210" w:leftChars="100" w:firstLine="320" w:firstLineChars="100"/>
        <w:jc w:val="left"/>
        <w:rPr>
          <w:rFonts w:hint="eastAsia" w:ascii="黑体" w:hAnsi="黑体" w:eastAsia="黑体" w:cs="黑体"/>
          <w:b w:val="0"/>
          <w:bCs w:val="0"/>
          <w:kern w:val="0"/>
          <w:sz w:val="32"/>
          <w:szCs w:val="32"/>
        </w:rPr>
      </w:pPr>
      <w:r>
        <w:rPr>
          <w:rFonts w:hint="eastAsia" w:ascii="黑体" w:hAnsi="黑体" w:eastAsia="黑体" w:cs="黑体"/>
          <w:b w:val="0"/>
          <w:bCs w:val="0"/>
          <w:kern w:val="0"/>
          <w:sz w:val="32"/>
          <w:szCs w:val="32"/>
        </w:rPr>
        <w:t>委托单位：</w:t>
      </w:r>
      <w:r>
        <w:rPr>
          <w:rFonts w:hint="eastAsia" w:ascii="黑体" w:hAnsi="黑体" w:eastAsia="黑体" w:cs="黑体"/>
          <w:b w:val="0"/>
          <w:bCs w:val="0"/>
          <w:kern w:val="0"/>
          <w:sz w:val="32"/>
          <w:szCs w:val="32"/>
          <w:lang w:val="en-US" w:eastAsia="zh-CN"/>
        </w:rPr>
        <w:t>宁武县</w:t>
      </w:r>
      <w:r>
        <w:rPr>
          <w:rFonts w:hint="eastAsia" w:ascii="黑体" w:hAnsi="黑体" w:eastAsia="黑体" w:cs="黑体"/>
          <w:b w:val="0"/>
          <w:bCs w:val="0"/>
          <w:kern w:val="0"/>
          <w:sz w:val="32"/>
          <w:szCs w:val="32"/>
        </w:rPr>
        <w:t>财政局</w:t>
      </w:r>
    </w:p>
    <w:p>
      <w:pPr>
        <w:autoSpaceDE w:val="0"/>
        <w:autoSpaceDN w:val="0"/>
        <w:adjustRightInd w:val="0"/>
        <w:spacing w:line="600" w:lineRule="atLeast"/>
        <w:ind w:left="210" w:leftChars="100" w:firstLine="320" w:firstLineChars="100"/>
        <w:jc w:val="left"/>
        <w:rPr>
          <w:rFonts w:hint="eastAsia" w:ascii="黑体" w:hAnsi="黑体" w:eastAsia="黑体" w:cs="黑体"/>
          <w:b w:val="0"/>
          <w:bCs w:val="0"/>
          <w:kern w:val="0"/>
          <w:sz w:val="32"/>
          <w:szCs w:val="32"/>
        </w:rPr>
      </w:pPr>
      <w:r>
        <w:rPr>
          <w:rFonts w:hint="eastAsia" w:ascii="黑体" w:hAnsi="黑体" w:eastAsia="黑体" w:cs="黑体"/>
          <w:b w:val="0"/>
          <w:bCs w:val="0"/>
          <w:kern w:val="0"/>
          <w:sz w:val="32"/>
          <w:szCs w:val="32"/>
        </w:rPr>
        <w:t>评价机构：山西亚泰会计师事务所有限公司</w:t>
      </w:r>
    </w:p>
    <w:p>
      <w:pPr>
        <w:autoSpaceDE w:val="0"/>
        <w:autoSpaceDN w:val="0"/>
        <w:adjustRightInd w:val="0"/>
        <w:spacing w:line="600" w:lineRule="atLeast"/>
        <w:ind w:left="210" w:leftChars="100" w:firstLine="320" w:firstLineChars="100"/>
        <w:jc w:val="center"/>
        <w:rPr>
          <w:rFonts w:hint="eastAsia" w:ascii="黑体" w:hAnsi="黑体" w:eastAsia="黑体" w:cs="黑体"/>
          <w:b w:val="0"/>
          <w:bCs w:val="0"/>
          <w:kern w:val="0"/>
          <w:sz w:val="32"/>
          <w:szCs w:val="32"/>
        </w:rPr>
      </w:pPr>
    </w:p>
    <w:p>
      <w:pPr>
        <w:keepNext w:val="0"/>
        <w:keepLines w:val="0"/>
        <w:pageBreakBefore w:val="0"/>
        <w:widowControl w:val="0"/>
        <w:kinsoku/>
        <w:wordWrap/>
        <w:overflowPunct/>
        <w:topLinePunct w:val="0"/>
        <w:autoSpaceDE w:val="0"/>
        <w:autoSpaceDN w:val="0"/>
        <w:bidi w:val="0"/>
        <w:adjustRightInd w:val="0"/>
        <w:snapToGrid w:val="0"/>
        <w:spacing w:line="600" w:lineRule="atLeast"/>
        <w:ind w:left="210" w:leftChars="100" w:firstLine="0" w:firstLineChars="0"/>
        <w:jc w:val="center"/>
        <w:textAlignment w:val="auto"/>
        <w:rPr>
          <w:rFonts w:hint="eastAsia" w:ascii="黑体" w:hAnsi="黑体" w:eastAsia="黑体" w:cs="黑体"/>
          <w:b w:val="0"/>
          <w:bCs w:val="0"/>
          <w:color w:val="auto"/>
          <w:kern w:val="0"/>
          <w:sz w:val="32"/>
          <w:szCs w:val="32"/>
          <w:highlight w:val="yellow"/>
        </w:rPr>
        <w:sectPr>
          <w:headerReference r:id="rId3" w:type="default"/>
          <w:footerReference r:id="rId4" w:type="default"/>
          <w:pgSz w:w="11911" w:h="16838"/>
          <w:pgMar w:top="2041" w:right="1417" w:bottom="1417" w:left="1531" w:header="720" w:footer="720" w:gutter="0"/>
          <w:pgBorders>
            <w:top w:val="none" w:sz="0" w:space="0"/>
            <w:left w:val="none" w:sz="0" w:space="0"/>
            <w:bottom w:val="none" w:sz="0" w:space="0"/>
            <w:right w:val="none" w:sz="0" w:space="0"/>
          </w:pgBorders>
          <w:pgNumType w:fmt="decimal" w:start="1"/>
          <w:cols w:space="720" w:num="1"/>
          <w:titlePg/>
          <w:rtlGutter w:val="0"/>
          <w:docGrid w:linePitch="312" w:charSpace="0"/>
        </w:sectPr>
      </w:pPr>
      <w:r>
        <w:rPr>
          <w:rFonts w:hint="eastAsia" w:ascii="黑体" w:hAnsi="黑体" w:eastAsia="黑体" w:cs="黑体"/>
          <w:b w:val="0"/>
          <w:bCs w:val="0"/>
          <w:kern w:val="0"/>
          <w:sz w:val="32"/>
          <w:szCs w:val="32"/>
          <w:highlight w:val="none"/>
        </w:rPr>
        <w:t>二〇二</w:t>
      </w:r>
      <w:r>
        <w:rPr>
          <w:rFonts w:hint="eastAsia" w:ascii="黑体" w:hAnsi="黑体" w:eastAsia="黑体" w:cs="黑体"/>
          <w:b w:val="0"/>
          <w:bCs w:val="0"/>
          <w:kern w:val="0"/>
          <w:sz w:val="32"/>
          <w:szCs w:val="32"/>
          <w:highlight w:val="none"/>
          <w:lang w:val="en-US" w:eastAsia="zh-CN"/>
        </w:rPr>
        <w:t>一</w:t>
      </w:r>
      <w:r>
        <w:rPr>
          <w:rFonts w:hint="eastAsia" w:ascii="黑体" w:hAnsi="黑体" w:eastAsia="黑体" w:cs="黑体"/>
          <w:b w:val="0"/>
          <w:bCs w:val="0"/>
          <w:kern w:val="0"/>
          <w:sz w:val="32"/>
          <w:szCs w:val="32"/>
          <w:highlight w:val="none"/>
        </w:rPr>
        <w:t>年</w:t>
      </w:r>
      <w:r>
        <w:rPr>
          <w:rFonts w:hint="eastAsia" w:ascii="黑体" w:hAnsi="黑体" w:eastAsia="黑体" w:cs="黑体"/>
          <w:b w:val="0"/>
          <w:bCs w:val="0"/>
          <w:kern w:val="0"/>
          <w:sz w:val="32"/>
          <w:szCs w:val="32"/>
          <w:highlight w:val="none"/>
          <w:lang w:val="en-US" w:eastAsia="zh-CN"/>
        </w:rPr>
        <w:t>十</w:t>
      </w:r>
      <w:r>
        <w:rPr>
          <w:rFonts w:hint="eastAsia" w:ascii="黑体" w:hAnsi="黑体" w:eastAsia="黑体" w:cs="黑体"/>
          <w:b w:val="0"/>
          <w:bCs w:val="0"/>
          <w:kern w:val="0"/>
          <w:sz w:val="32"/>
          <w:szCs w:val="32"/>
          <w:highlight w:val="none"/>
        </w:rPr>
        <w:t>月</w:t>
      </w:r>
    </w:p>
    <w:p>
      <w:pPr>
        <w:pStyle w:val="7"/>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方正小标宋简体" w:hAnsi="方正小标宋简体" w:eastAsia="方正小标宋简体" w:cs="方正小标宋简体"/>
          <w:b w:val="0"/>
          <w:bCs w:val="0"/>
          <w:kern w:val="2"/>
          <w:sz w:val="36"/>
          <w:szCs w:val="36"/>
          <w:highlight w:val="none"/>
          <w:lang w:val="en-US" w:eastAsia="zh-CN" w:bidi="ar-SA"/>
        </w:rPr>
      </w:pPr>
      <w:bookmarkStart w:id="0" w:name="_Toc17760"/>
      <w:bookmarkStart w:id="63" w:name="_GoBack"/>
      <w:r>
        <w:rPr>
          <w:rFonts w:hint="eastAsia" w:ascii="方正小标宋简体" w:hAnsi="方正小标宋简体" w:eastAsia="方正小标宋简体" w:cs="方正小标宋简体"/>
          <w:b w:val="0"/>
          <w:bCs w:val="0"/>
          <w:kern w:val="2"/>
          <w:sz w:val="36"/>
          <w:szCs w:val="36"/>
          <w:highlight w:val="none"/>
          <w:lang w:val="en-US" w:eastAsia="zh-CN" w:bidi="ar-SA"/>
        </w:rPr>
        <w:t>宁武县文化和旅游局2020年统筹整合</w:t>
      </w:r>
    </w:p>
    <w:bookmarkEnd w:id="63"/>
    <w:p>
      <w:pPr>
        <w:pStyle w:val="7"/>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方正小标宋简体" w:hAnsi="方正小标宋简体" w:eastAsia="方正小标宋简体" w:cs="方正小标宋简体"/>
          <w:b w:val="0"/>
          <w:bCs w:val="0"/>
          <w:kern w:val="2"/>
          <w:sz w:val="36"/>
          <w:szCs w:val="36"/>
          <w:highlight w:val="none"/>
          <w:lang w:val="en-US" w:eastAsia="zh-CN" w:bidi="ar-SA"/>
        </w:rPr>
      </w:pPr>
      <w:r>
        <w:rPr>
          <w:rFonts w:hint="eastAsia" w:ascii="方正小标宋简体" w:hAnsi="方正小标宋简体" w:eastAsia="方正小标宋简体" w:cs="方正小标宋简体"/>
          <w:b w:val="0"/>
          <w:bCs w:val="0"/>
          <w:kern w:val="2"/>
          <w:sz w:val="36"/>
          <w:szCs w:val="36"/>
          <w:highlight w:val="none"/>
          <w:lang w:val="en-US" w:eastAsia="zh-CN" w:bidi="ar-SA"/>
        </w:rPr>
        <w:t>财政资金绩效评价报告</w:t>
      </w:r>
      <w:bookmarkEnd w:id="0"/>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eastAsia" w:ascii="仿宋_GB2312" w:hAnsi="仿宋_GB2312" w:eastAsia="仿宋_GB2312" w:cs="仿宋_GB2312"/>
          <w:szCs w:val="24"/>
        </w:rPr>
      </w:pPr>
      <w:r>
        <w:rPr>
          <w:rFonts w:hint="eastAsia" w:ascii="仿宋_GB2312" w:hAnsi="仿宋_GB2312" w:eastAsia="仿宋_GB2312" w:cs="仿宋_GB2312"/>
          <w:sz w:val="28"/>
          <w:szCs w:val="28"/>
        </w:rPr>
        <w:t>为深入贯彻落实《中共山西省委 山西省人民政府关于全面实施预算绩效管理的实施意见》（晋发〔2018〕39号）文件精神，全面实施预算绩效管理，提高财政资源配置效率和使用效益，增强财政支出的责任和效率意识，根据《宁武县财政局关于开展2020年度项目支出绩效评价工作的通知》（宁财字〔2020〕13号），受宁武县财政局委托，山西亚泰会计师事务所有限公司于2021年6月对</w:t>
      </w:r>
      <w:r>
        <w:rPr>
          <w:rFonts w:hint="eastAsia" w:ascii="仿宋_GB2312" w:hAnsi="仿宋_GB2312" w:eastAsia="仿宋_GB2312" w:cs="仿宋_GB2312"/>
          <w:sz w:val="28"/>
          <w:szCs w:val="28"/>
          <w:lang w:eastAsia="zh-CN"/>
        </w:rPr>
        <w:t>宁武县文化和旅游局2020年统筹整合财政资金</w:t>
      </w:r>
      <w:r>
        <w:rPr>
          <w:rFonts w:hint="eastAsia" w:ascii="仿宋_GB2312" w:hAnsi="仿宋_GB2312" w:eastAsia="仿宋_GB2312" w:cs="仿宋_GB2312"/>
          <w:sz w:val="28"/>
          <w:szCs w:val="28"/>
        </w:rPr>
        <w:t>进行了绩效评价，现将此次绩效评价情况报告如下。</w:t>
      </w:r>
    </w:p>
    <w:p>
      <w:pPr>
        <w:pStyle w:val="4"/>
        <w:pageBreakBefore w:val="0"/>
        <w:kinsoku/>
        <w:wordWrap/>
        <w:overflowPunct/>
        <w:topLinePunct w:val="0"/>
        <w:autoSpaceDE/>
        <w:autoSpaceDN/>
        <w:bidi w:val="0"/>
        <w:adjustRightInd/>
        <w:snapToGrid/>
        <w:spacing w:before="0" w:beforeAutospacing="0" w:after="0" w:afterAutospacing="0" w:line="360" w:lineRule="auto"/>
        <w:ind w:firstLine="560" w:firstLineChars="200"/>
        <w:textAlignment w:val="auto"/>
        <w:rPr>
          <w:rFonts w:hint="eastAsia" w:ascii="黑体" w:hAnsi="黑体" w:eastAsia="黑体" w:cs="黑体"/>
          <w:sz w:val="28"/>
          <w:szCs w:val="28"/>
          <w:lang w:val="en-US" w:eastAsia="zh-CN"/>
        </w:rPr>
      </w:pPr>
      <w:bookmarkStart w:id="1" w:name="_Toc6789"/>
      <w:r>
        <w:rPr>
          <w:rFonts w:hint="eastAsia" w:ascii="黑体" w:hAnsi="黑体" w:eastAsia="黑体" w:cs="黑体"/>
          <w:b w:val="0"/>
          <w:bCs/>
          <w:sz w:val="28"/>
          <w:szCs w:val="28"/>
          <w:lang w:val="en-US" w:eastAsia="zh-CN"/>
        </w:rPr>
        <w:t>一、基本情况</w:t>
      </w:r>
      <w:bookmarkEnd w:id="1"/>
    </w:p>
    <w:p>
      <w:pPr>
        <w:pStyle w:val="5"/>
        <w:pageBreakBefore w:val="0"/>
        <w:kinsoku/>
        <w:wordWrap/>
        <w:overflowPunct/>
        <w:topLinePunct w:val="0"/>
        <w:autoSpaceDE/>
        <w:autoSpaceDN/>
        <w:bidi w:val="0"/>
        <w:adjustRightInd/>
        <w:snapToGrid/>
        <w:spacing w:beforeAutospacing="0" w:afterAutospacing="0" w:line="360" w:lineRule="auto"/>
        <w:ind w:firstLine="560" w:firstLineChars="200"/>
        <w:textAlignment w:val="auto"/>
        <w:rPr>
          <w:rFonts w:hint="default"/>
          <w:lang w:val="en-US" w:eastAsia="zh-CN"/>
        </w:rPr>
      </w:pPr>
      <w:bookmarkStart w:id="2" w:name="_Toc6279"/>
      <w:r>
        <w:rPr>
          <w:rFonts w:hint="eastAsia"/>
          <w:lang w:eastAsia="zh-CN"/>
        </w:rPr>
        <w:t>（</w:t>
      </w:r>
      <w:r>
        <w:rPr>
          <w:rFonts w:hint="eastAsia"/>
          <w:lang w:val="en-US" w:eastAsia="zh-CN"/>
        </w:rPr>
        <w:t>一</w:t>
      </w:r>
      <w:r>
        <w:rPr>
          <w:rFonts w:hint="eastAsia"/>
          <w:lang w:eastAsia="zh-CN"/>
        </w:rPr>
        <w:t>）</w:t>
      </w:r>
      <w:r>
        <w:rPr>
          <w:rFonts w:hint="eastAsia"/>
          <w:lang w:val="en-US" w:eastAsia="zh-CN"/>
        </w:rPr>
        <w:t>项目概况</w:t>
      </w:r>
      <w:bookmarkEnd w:id="2"/>
    </w:p>
    <w:p>
      <w:pPr>
        <w:pStyle w:val="6"/>
        <w:bidi w:val="0"/>
        <w:rPr>
          <w:rFonts w:hint="eastAsia" w:ascii="仿宋_GB2312" w:hAnsi="仿宋_GB2312" w:eastAsia="仿宋_GB2312" w:cs="仿宋_GB2312"/>
          <w:sz w:val="28"/>
          <w:szCs w:val="28"/>
          <w:lang w:val="en-US" w:eastAsia="zh-CN"/>
        </w:rPr>
      </w:pPr>
      <w:bookmarkStart w:id="3" w:name="_Toc5412"/>
      <w:bookmarkStart w:id="4" w:name="_Toc4462"/>
      <w:r>
        <w:rPr>
          <w:rFonts w:hint="eastAsia" w:ascii="仿宋_GB2312" w:hAnsi="仿宋_GB2312" w:eastAsia="仿宋_GB2312" w:cs="仿宋_GB2312"/>
          <w:sz w:val="28"/>
          <w:szCs w:val="28"/>
          <w:lang w:val="en-US" w:eastAsia="zh-CN"/>
        </w:rPr>
        <w:t>1.项目背景</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按照党的十九大关于打赢脱贫攻坚战总体部署，根据各地区各部门贯彻落实《中共中央、国务院关于打赢脱贫攻坚战的决定》（中发〔2015〕34号）的进展和实践中存在的突出问题，就完善顶层设计、强化政策措施、加强统筹协调、推动脱贫攻坚工作更加有效开展，于2018年制定《中共中央、国务院关于打赢脱贫攻坚三年行动的指导意见》（中发〔2018〕16号），结合</w:t>
      </w:r>
      <w:r>
        <w:rPr>
          <w:rFonts w:hint="eastAsia" w:ascii="仿宋_GB2312" w:hAnsi="仿宋_GB2312" w:eastAsia="仿宋_GB2312" w:cs="仿宋_GB2312"/>
          <w:sz w:val="28"/>
          <w:szCs w:val="28"/>
          <w:lang w:val="en-US" w:eastAsia="zh-CN"/>
        </w:rPr>
        <w:t>山西省</w:t>
      </w:r>
      <w:r>
        <w:rPr>
          <w:rFonts w:hint="eastAsia" w:ascii="仿宋_GB2312" w:hAnsi="仿宋_GB2312" w:eastAsia="仿宋_GB2312" w:cs="仿宋_GB2312"/>
          <w:sz w:val="28"/>
          <w:szCs w:val="28"/>
          <w:lang w:eastAsia="zh-CN"/>
        </w:rPr>
        <w:t>实际提出《中共山西省委 山西省人民政府 关于坚决打赢全省脱贫攻坚战三年行动的实施意见》（晋发〔2018〕21号），从完善顶层设计、强化政策措施和加强统筹协调等方面，为</w:t>
      </w:r>
      <w:r>
        <w:rPr>
          <w:rFonts w:hint="eastAsia" w:ascii="仿宋_GB2312" w:hAnsi="仿宋_GB2312" w:eastAsia="仿宋_GB2312" w:cs="仿宋_GB2312"/>
          <w:sz w:val="28"/>
          <w:szCs w:val="28"/>
          <w:lang w:val="en-US" w:eastAsia="zh-CN"/>
        </w:rPr>
        <w:t>山西省</w:t>
      </w:r>
      <w:r>
        <w:rPr>
          <w:rFonts w:hint="eastAsia" w:ascii="仿宋_GB2312" w:hAnsi="仿宋_GB2312" w:eastAsia="仿宋_GB2312" w:cs="仿宋_GB2312"/>
          <w:sz w:val="28"/>
          <w:szCs w:val="28"/>
          <w:lang w:eastAsia="zh-CN"/>
        </w:rPr>
        <w:t>今后三年脱贫攻坚工作制定了“路线图”和“时间表”，是决战决胜今后三年脱贫攻坚战的纲领性文件。</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eastAsia="zh-CN"/>
        </w:rPr>
        <w:t>深入贯彻落实山西省人民政府《关于推进涉农资金统筹整合的实施意见》（晋政发〔2018〕31号），山西省脱贫攻坚领导小组《关于进一步做好贫困县统筹整合使用财政资金实施精准扶贫工作的通知》（晋脱贫攻坚组〔2019〕9号）及忻州市人民政府《关于印发忻州市推进涉农资金统筹整合实施方案的通知》（忻政办发〔2018〕152号），创新体制机制，切实发挥涉农资金统筹整合作用，打赢全县脱贫攻坚战，根据脱贫攻坚需要，对年初方案中的项目资金预算安排进行调整，制定《宁武县2020年统筹整合使用财政资金开展脱贫攻坚调整实施方案》（宁脱贫攻坚部〔2020〕20号），宁武县文化和旅游局2020年统筹整合财政资金</w:t>
      </w:r>
      <w:r>
        <w:rPr>
          <w:rFonts w:hint="eastAsia" w:ascii="仿宋_GB2312" w:hAnsi="仿宋_GB2312" w:eastAsia="仿宋_GB2312" w:cs="仿宋_GB2312"/>
          <w:sz w:val="28"/>
          <w:szCs w:val="28"/>
          <w:lang w:val="en-US" w:eastAsia="zh-CN"/>
        </w:rPr>
        <w:t>700万元，</w:t>
      </w:r>
      <w:r>
        <w:rPr>
          <w:rFonts w:hint="eastAsia" w:ascii="仿宋_GB2312" w:hAnsi="仿宋_GB2312" w:eastAsia="仿宋_GB2312" w:cs="仿宋_GB2312"/>
          <w:sz w:val="28"/>
          <w:szCs w:val="28"/>
          <w:lang w:eastAsia="zh-CN"/>
        </w:rPr>
        <w:t>在</w:t>
      </w:r>
      <w:r>
        <w:rPr>
          <w:rFonts w:hint="eastAsia" w:ascii="仿宋_GB2312" w:hAnsi="仿宋_GB2312" w:eastAsia="仿宋_GB2312" w:cs="仿宋_GB2312"/>
          <w:sz w:val="28"/>
          <w:szCs w:val="28"/>
          <w:lang w:val="en-US" w:eastAsia="zh-CN"/>
        </w:rPr>
        <w:t>东寨镇</w:t>
      </w:r>
      <w:r>
        <w:rPr>
          <w:rFonts w:hint="eastAsia" w:ascii="仿宋_GB2312" w:hAnsi="仿宋_GB2312" w:eastAsia="仿宋_GB2312" w:cs="仿宋_GB2312"/>
          <w:sz w:val="28"/>
          <w:szCs w:val="28"/>
          <w:lang w:eastAsia="zh-CN"/>
        </w:rPr>
        <w:t>开发建设“宁武县东寨旅游特色一条街”，</w:t>
      </w:r>
      <w:r>
        <w:rPr>
          <w:rFonts w:hint="eastAsia" w:ascii="仿宋_GB2312" w:hAnsi="仿宋_GB2312" w:eastAsia="仿宋_GB2312" w:cs="仿宋_GB2312"/>
          <w:sz w:val="28"/>
          <w:szCs w:val="28"/>
          <w:lang w:val="en-US" w:eastAsia="zh-CN"/>
        </w:rPr>
        <w:t>该项目由</w:t>
      </w:r>
      <w:r>
        <w:rPr>
          <w:rFonts w:hint="eastAsia" w:ascii="仿宋_GB2312" w:hAnsi="仿宋_GB2312" w:eastAsia="仿宋_GB2312" w:cs="仿宋_GB2312"/>
          <w:sz w:val="28"/>
          <w:szCs w:val="28"/>
          <w:lang w:eastAsia="zh-CN"/>
        </w:rPr>
        <w:t>宁武县文化和旅游局</w:t>
      </w:r>
      <w:r>
        <w:rPr>
          <w:rFonts w:hint="eastAsia" w:ascii="仿宋_GB2312" w:hAnsi="仿宋_GB2312" w:eastAsia="仿宋_GB2312" w:cs="仿宋_GB2312"/>
          <w:sz w:val="28"/>
          <w:szCs w:val="28"/>
          <w:lang w:val="en-US" w:eastAsia="zh-CN"/>
        </w:rPr>
        <w:t>牵头实施，项目建设内容主要包括</w:t>
      </w:r>
      <w:r>
        <w:rPr>
          <w:rFonts w:hint="eastAsia" w:ascii="仿宋_GB2312" w:hAnsi="仿宋_GB2312" w:eastAsia="仿宋_GB2312" w:cs="仿宋_GB2312"/>
          <w:spacing w:val="-1"/>
          <w:sz w:val="28"/>
          <w:szCs w:val="28"/>
          <w:highlight w:val="none"/>
          <w:lang w:eastAsia="zh-CN"/>
        </w:rPr>
        <w:t>宁武县东寨旅游特色一条街</w:t>
      </w:r>
      <w:r>
        <w:rPr>
          <w:rFonts w:hint="eastAsia" w:ascii="仿宋_GB2312" w:hAnsi="仿宋_GB2312" w:eastAsia="仿宋_GB2312" w:cs="仿宋_GB2312"/>
          <w:spacing w:val="-1"/>
          <w:sz w:val="28"/>
          <w:szCs w:val="28"/>
          <w:highlight w:val="none"/>
          <w:lang w:val="en-US" w:eastAsia="zh-CN"/>
        </w:rPr>
        <w:t>的</w:t>
      </w:r>
      <w:r>
        <w:rPr>
          <w:rFonts w:hint="eastAsia" w:ascii="仿宋_GB2312" w:hAnsi="仿宋_GB2312" w:eastAsia="仿宋_GB2312" w:cs="仿宋_GB2312"/>
          <w:sz w:val="28"/>
          <w:szCs w:val="28"/>
          <w:lang w:val="en-US" w:eastAsia="zh-CN"/>
        </w:rPr>
        <w:t>安装工程</w:t>
      </w:r>
      <w:r>
        <w:rPr>
          <w:rFonts w:hint="eastAsia" w:ascii="仿宋_GB2312" w:hAnsi="仿宋_GB2312" w:cs="仿宋_GB2312"/>
          <w:b w:val="0"/>
          <w:bCs w:val="0"/>
          <w:i w:val="0"/>
          <w:color w:val="000000"/>
          <w:kern w:val="0"/>
          <w:sz w:val="28"/>
          <w:szCs w:val="28"/>
          <w:u w:val="none"/>
          <w:lang w:val="en-US" w:eastAsia="zh-CN" w:bidi="ar"/>
        </w:rPr>
        <w:t>、</w:t>
      </w:r>
      <w:r>
        <w:rPr>
          <w:rFonts w:hint="eastAsia" w:ascii="仿宋_GB2312" w:hAnsi="仿宋_GB2312" w:eastAsia="仿宋_GB2312" w:cs="仿宋_GB2312"/>
          <w:sz w:val="28"/>
          <w:szCs w:val="28"/>
          <w:lang w:val="en-US" w:eastAsia="zh-CN"/>
        </w:rPr>
        <w:t>建筑工程</w:t>
      </w:r>
      <w:r>
        <w:rPr>
          <w:rFonts w:hint="eastAsia" w:ascii="仿宋_GB2312" w:hAnsi="仿宋_GB2312" w:cs="仿宋_GB2312"/>
          <w:b w:val="0"/>
          <w:bCs w:val="0"/>
          <w:i w:val="0"/>
          <w:color w:val="000000"/>
          <w:kern w:val="0"/>
          <w:sz w:val="28"/>
          <w:szCs w:val="28"/>
          <w:u w:val="none"/>
          <w:lang w:val="en-US" w:eastAsia="zh-CN" w:bidi="ar"/>
        </w:rPr>
        <w:t>、</w:t>
      </w:r>
      <w:r>
        <w:rPr>
          <w:rFonts w:hint="eastAsia" w:ascii="仿宋_GB2312" w:hAnsi="仿宋_GB2312" w:eastAsia="仿宋_GB2312" w:cs="仿宋_GB2312"/>
          <w:sz w:val="28"/>
          <w:szCs w:val="28"/>
          <w:lang w:val="en-US" w:eastAsia="zh-CN"/>
        </w:rPr>
        <w:t>加固维修和装饰工程，目前项目全部完工。</w:t>
      </w:r>
      <w:bookmarkEnd w:id="3"/>
      <w:bookmarkEnd w:id="4"/>
    </w:p>
    <w:p>
      <w:pPr>
        <w:pStyle w:val="5"/>
        <w:pageBreakBefore w:val="0"/>
        <w:kinsoku/>
        <w:wordWrap/>
        <w:overflowPunct/>
        <w:topLinePunct w:val="0"/>
        <w:autoSpaceDE/>
        <w:autoSpaceDN/>
        <w:bidi w:val="0"/>
        <w:adjustRightInd/>
        <w:snapToGrid/>
        <w:spacing w:beforeAutospacing="0" w:afterAutospacing="0" w:line="360" w:lineRule="auto"/>
        <w:ind w:firstLine="560" w:firstLineChars="200"/>
        <w:textAlignment w:val="auto"/>
        <w:rPr>
          <w:rFonts w:hint="eastAsia"/>
          <w:lang w:val="en-US" w:eastAsia="zh-CN"/>
        </w:rPr>
      </w:pPr>
      <w:bookmarkStart w:id="5" w:name="_Toc30808"/>
      <w:r>
        <w:rPr>
          <w:rFonts w:hint="eastAsia"/>
          <w:lang w:val="en-US" w:eastAsia="zh-CN"/>
        </w:rPr>
        <w:t>（二）主要内容及实施情况</w:t>
      </w:r>
      <w:bookmarkEnd w:id="5"/>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leftChars="0" w:right="0" w:firstLine="556" w:firstLineChars="200"/>
        <w:jc w:val="left"/>
        <w:textAlignment w:val="auto"/>
        <w:outlineLvl w:val="9"/>
        <w:rPr>
          <w:rFonts w:hint="default" w:ascii="仿宋_GB2312" w:hAnsi="仿宋_GB2312" w:eastAsia="仿宋_GB2312" w:cs="仿宋_GB2312"/>
          <w:i w:val="0"/>
          <w:iCs w:val="0"/>
          <w:caps w:val="0"/>
          <w:color w:val="auto"/>
          <w:spacing w:val="0"/>
          <w:kern w:val="0"/>
          <w:sz w:val="28"/>
          <w:szCs w:val="28"/>
          <w:highlight w:val="none"/>
          <w:lang w:val="en-US" w:eastAsia="zh-CN" w:bidi="ar"/>
        </w:rPr>
      </w:pPr>
      <w:r>
        <w:rPr>
          <w:rFonts w:hint="eastAsia" w:ascii="仿宋_GB2312" w:hAnsi="仿宋_GB2312" w:eastAsia="仿宋_GB2312" w:cs="仿宋_GB2312"/>
          <w:spacing w:val="-1"/>
          <w:sz w:val="28"/>
          <w:szCs w:val="28"/>
          <w:highlight w:val="none"/>
          <w:lang w:eastAsia="zh-CN"/>
        </w:rPr>
        <w:t>宁武县文化和旅游局2020年统筹整合财政资金</w:t>
      </w:r>
      <w:r>
        <w:rPr>
          <w:rFonts w:hint="eastAsia" w:ascii="仿宋_GB2312" w:hAnsi="仿宋_GB2312" w:eastAsia="仿宋_GB2312" w:cs="仿宋_GB2312"/>
          <w:spacing w:val="-1"/>
          <w:sz w:val="28"/>
          <w:szCs w:val="28"/>
          <w:highlight w:val="none"/>
          <w:lang w:val="en-US" w:eastAsia="zh-CN"/>
        </w:rPr>
        <w:t>用于</w:t>
      </w:r>
      <w:r>
        <w:rPr>
          <w:rFonts w:hint="eastAsia" w:ascii="仿宋_GB2312" w:hAnsi="仿宋_GB2312" w:eastAsia="仿宋_GB2312" w:cs="仿宋_GB2312"/>
          <w:spacing w:val="-1"/>
          <w:sz w:val="28"/>
          <w:szCs w:val="28"/>
          <w:highlight w:val="none"/>
          <w:lang w:eastAsia="zh-CN"/>
        </w:rPr>
        <w:t>宁武县东寨旅游特色一条街</w:t>
      </w:r>
      <w:r>
        <w:rPr>
          <w:rFonts w:hint="eastAsia" w:ascii="仿宋_GB2312" w:hAnsi="仿宋_GB2312" w:eastAsia="仿宋_GB2312" w:cs="仿宋_GB2312"/>
          <w:spacing w:val="-1"/>
          <w:sz w:val="28"/>
          <w:szCs w:val="28"/>
          <w:highlight w:val="none"/>
          <w:lang w:val="en-US" w:eastAsia="zh-CN"/>
        </w:rPr>
        <w:t>的</w:t>
      </w:r>
      <w:r>
        <w:rPr>
          <w:rFonts w:hint="eastAsia" w:ascii="仿宋_GB2312" w:hAnsi="仿宋_GB2312" w:eastAsia="仿宋_GB2312" w:cs="仿宋_GB2312"/>
          <w:sz w:val="28"/>
          <w:szCs w:val="28"/>
          <w:lang w:val="en-US" w:eastAsia="zh-CN"/>
        </w:rPr>
        <w:t>安装工程</w:t>
      </w:r>
      <w:r>
        <w:rPr>
          <w:rFonts w:hint="eastAsia" w:ascii="仿宋_GB2312" w:hAnsi="仿宋_GB2312" w:cs="仿宋_GB2312"/>
          <w:b w:val="0"/>
          <w:bCs w:val="0"/>
          <w:i w:val="0"/>
          <w:color w:val="000000"/>
          <w:kern w:val="0"/>
          <w:sz w:val="28"/>
          <w:szCs w:val="28"/>
          <w:u w:val="none"/>
          <w:lang w:val="en-US" w:eastAsia="zh-CN" w:bidi="ar"/>
        </w:rPr>
        <w:t>、</w:t>
      </w:r>
      <w:r>
        <w:rPr>
          <w:rFonts w:hint="eastAsia" w:ascii="仿宋_GB2312" w:hAnsi="仿宋_GB2312" w:eastAsia="仿宋_GB2312" w:cs="仿宋_GB2312"/>
          <w:sz w:val="28"/>
          <w:szCs w:val="28"/>
          <w:lang w:val="en-US" w:eastAsia="zh-CN"/>
        </w:rPr>
        <w:t>建筑工程</w:t>
      </w:r>
      <w:r>
        <w:rPr>
          <w:rFonts w:hint="eastAsia" w:ascii="仿宋_GB2312" w:hAnsi="仿宋_GB2312" w:cs="仿宋_GB2312"/>
          <w:b w:val="0"/>
          <w:bCs w:val="0"/>
          <w:i w:val="0"/>
          <w:color w:val="000000"/>
          <w:kern w:val="0"/>
          <w:sz w:val="28"/>
          <w:szCs w:val="28"/>
          <w:u w:val="none"/>
          <w:lang w:val="en-US" w:eastAsia="zh-CN" w:bidi="ar"/>
        </w:rPr>
        <w:t>、</w:t>
      </w:r>
      <w:r>
        <w:rPr>
          <w:rFonts w:hint="eastAsia" w:ascii="仿宋_GB2312" w:hAnsi="仿宋_GB2312" w:eastAsia="仿宋_GB2312" w:cs="仿宋_GB2312"/>
          <w:sz w:val="28"/>
          <w:szCs w:val="28"/>
          <w:lang w:val="en-US" w:eastAsia="zh-CN"/>
        </w:rPr>
        <w:t>加固维修和装饰工程，目前项目主体部分全部完工。</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leftChars="0" w:right="0" w:firstLine="560" w:firstLineChars="200"/>
        <w:jc w:val="left"/>
        <w:textAlignment w:val="auto"/>
        <w:outlineLvl w:val="1"/>
        <w:rPr>
          <w:rFonts w:hint="eastAsia" w:ascii="仿宋_GB2312" w:hAnsi="仿宋_GB2312" w:eastAsia="仿宋_GB2312" w:cs="仿宋_GB2312"/>
          <w:b/>
          <w:bCs/>
          <w:i w:val="0"/>
          <w:iCs w:val="0"/>
          <w:caps w:val="0"/>
          <w:color w:val="000000"/>
          <w:spacing w:val="0"/>
          <w:kern w:val="0"/>
          <w:sz w:val="28"/>
          <w:szCs w:val="28"/>
          <w:highlight w:val="none"/>
          <w:lang w:val="en-US" w:eastAsia="zh-CN" w:bidi="ar"/>
        </w:rPr>
      </w:pPr>
      <w:bookmarkStart w:id="6" w:name="_Toc19409"/>
      <w:bookmarkStart w:id="7" w:name="_Toc12884"/>
      <w:bookmarkStart w:id="8" w:name="_Toc11198"/>
      <w:r>
        <w:rPr>
          <w:rFonts w:hint="eastAsia" w:ascii="楷体_GB2312" w:hAnsi="楷体_GB2312" w:eastAsia="楷体_GB2312" w:cs="楷体_GB2312"/>
          <w:i w:val="0"/>
          <w:iCs w:val="0"/>
          <w:caps w:val="0"/>
          <w:color w:val="000000"/>
          <w:spacing w:val="0"/>
          <w:kern w:val="0"/>
          <w:sz w:val="28"/>
          <w:szCs w:val="28"/>
          <w:highlight w:val="none"/>
          <w:lang w:val="en-US" w:eastAsia="zh-CN" w:bidi="ar"/>
        </w:rPr>
        <w:t>（三）项目资金投入和使用情况</w:t>
      </w:r>
      <w:bookmarkEnd w:id="6"/>
      <w:bookmarkEnd w:id="7"/>
      <w:bookmarkEnd w:id="8"/>
    </w:p>
    <w:p>
      <w:pPr>
        <w:keepNext w:val="0"/>
        <w:keepLines w:val="0"/>
        <w:pageBreakBefore w:val="0"/>
        <w:widowControl w:val="0"/>
        <w:kinsoku/>
        <w:wordWrap/>
        <w:overflowPunct/>
        <w:topLinePunct w:val="0"/>
        <w:autoSpaceDE/>
        <w:autoSpaceDN/>
        <w:bidi w:val="0"/>
        <w:adjustRightInd w:val="0"/>
        <w:snapToGrid w:val="0"/>
        <w:spacing w:line="360" w:lineRule="auto"/>
        <w:ind w:firstLine="562" w:firstLineChars="200"/>
        <w:textAlignment w:val="auto"/>
        <w:outlineLvl w:val="2"/>
        <w:rPr>
          <w:rFonts w:hint="eastAsia" w:ascii="仿宋_GB2312" w:hAnsi="仿宋_GB2312" w:eastAsia="仿宋_GB2312" w:cs="仿宋_GB2312"/>
          <w:sz w:val="28"/>
          <w:szCs w:val="36"/>
          <w:lang w:val="en-US" w:eastAsia="zh-CN"/>
        </w:rPr>
      </w:pPr>
      <w:bookmarkStart w:id="9" w:name="_Toc10439"/>
      <w:r>
        <w:rPr>
          <w:rFonts w:hint="eastAsia" w:ascii="仿宋_GB2312" w:hAnsi="仿宋_GB2312" w:eastAsia="仿宋_GB2312" w:cs="仿宋_GB2312"/>
          <w:b/>
          <w:bCs/>
          <w:sz w:val="28"/>
          <w:szCs w:val="36"/>
          <w:lang w:eastAsia="zh-CN"/>
        </w:rPr>
        <w:t>（</w:t>
      </w:r>
      <w:r>
        <w:rPr>
          <w:rFonts w:hint="eastAsia" w:ascii="仿宋_GB2312" w:hAnsi="仿宋_GB2312" w:eastAsia="仿宋_GB2312" w:cs="仿宋_GB2312"/>
          <w:b/>
          <w:bCs/>
          <w:sz w:val="28"/>
          <w:szCs w:val="36"/>
          <w:lang w:val="en-US" w:eastAsia="zh-CN"/>
        </w:rPr>
        <w:t>1</w:t>
      </w:r>
      <w:r>
        <w:rPr>
          <w:rFonts w:hint="eastAsia" w:ascii="仿宋_GB2312" w:hAnsi="仿宋_GB2312" w:eastAsia="仿宋_GB2312" w:cs="仿宋_GB2312"/>
          <w:b/>
          <w:bCs/>
          <w:sz w:val="28"/>
          <w:szCs w:val="36"/>
          <w:lang w:eastAsia="zh-CN"/>
        </w:rPr>
        <w:t>）</w:t>
      </w:r>
      <w:r>
        <w:rPr>
          <w:rFonts w:hint="eastAsia" w:ascii="仿宋_GB2312" w:hAnsi="仿宋_GB2312" w:eastAsia="仿宋_GB2312" w:cs="仿宋_GB2312"/>
          <w:b/>
          <w:bCs/>
          <w:sz w:val="28"/>
          <w:szCs w:val="36"/>
        </w:rPr>
        <w:t>资金投入</w:t>
      </w:r>
      <w:r>
        <w:rPr>
          <w:rFonts w:hint="eastAsia" w:ascii="仿宋_GB2312" w:hAnsi="仿宋_GB2312" w:eastAsia="仿宋_GB2312" w:cs="仿宋_GB2312"/>
          <w:b/>
          <w:bCs/>
          <w:sz w:val="28"/>
          <w:szCs w:val="36"/>
          <w:lang w:val="en-US" w:eastAsia="zh-CN"/>
        </w:rPr>
        <w:t>情况</w:t>
      </w:r>
      <w:bookmarkEnd w:id="9"/>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eastAsia" w:ascii="仿宋_GB2312" w:hAnsi="仿宋_GB2312" w:eastAsia="仿宋_GB2312" w:cs="仿宋_GB2312"/>
          <w:sz w:val="28"/>
          <w:szCs w:val="36"/>
        </w:rPr>
      </w:pPr>
      <w:r>
        <w:rPr>
          <w:rFonts w:hint="eastAsia" w:ascii="仿宋_GB2312" w:hAnsi="仿宋_GB2312" w:eastAsia="仿宋_GB2312" w:cs="仿宋_GB2312"/>
          <w:sz w:val="28"/>
          <w:szCs w:val="36"/>
          <w:lang w:val="en-US" w:eastAsia="zh-CN"/>
        </w:rPr>
        <w:t>宁武县文化和旅游局2020年统筹整合财政资金700</w:t>
      </w:r>
      <w:r>
        <w:rPr>
          <w:rFonts w:hint="eastAsia" w:ascii="仿宋_GB2312" w:hAnsi="仿宋_GB2312" w:eastAsia="仿宋_GB2312" w:cs="仿宋_GB2312"/>
          <w:sz w:val="28"/>
          <w:szCs w:val="36"/>
        </w:rPr>
        <w:t>万元，共用于</w:t>
      </w:r>
      <w:r>
        <w:rPr>
          <w:rFonts w:hint="eastAsia" w:ascii="仿宋_GB2312" w:hAnsi="仿宋_GB2312" w:eastAsia="仿宋_GB2312" w:cs="仿宋_GB2312"/>
          <w:sz w:val="28"/>
          <w:szCs w:val="36"/>
          <w:lang w:val="en-US" w:eastAsia="zh-CN"/>
        </w:rPr>
        <w:t>4</w:t>
      </w:r>
      <w:r>
        <w:rPr>
          <w:rFonts w:hint="eastAsia" w:ascii="仿宋_GB2312" w:hAnsi="仿宋_GB2312" w:eastAsia="仿宋_GB2312" w:cs="仿宋_GB2312"/>
          <w:sz w:val="28"/>
          <w:szCs w:val="36"/>
        </w:rPr>
        <w:t>个项目。具体各项目预算资金详见表1-1。</w:t>
      </w:r>
    </w:p>
    <w:p>
      <w:pPr>
        <w:keepNext w:val="0"/>
        <w:keepLines w:val="0"/>
        <w:pageBreakBefore w:val="0"/>
        <w:widowControl w:val="0"/>
        <w:kinsoku/>
        <w:wordWrap/>
        <w:overflowPunct/>
        <w:topLinePunct w:val="0"/>
        <w:autoSpaceDE/>
        <w:autoSpaceDN/>
        <w:bidi w:val="0"/>
        <w:adjustRightInd w:val="0"/>
        <w:snapToGrid w:val="0"/>
        <w:spacing w:line="360" w:lineRule="auto"/>
        <w:ind w:firstLine="562" w:firstLineChars="200"/>
        <w:textAlignment w:val="auto"/>
        <w:outlineLvl w:val="2"/>
        <w:rPr>
          <w:rFonts w:hint="eastAsia" w:ascii="仿宋_GB2312" w:hAnsi="仿宋_GB2312" w:eastAsia="仿宋_GB2312" w:cs="仿宋_GB2312"/>
          <w:sz w:val="28"/>
          <w:szCs w:val="36"/>
          <w:lang w:eastAsia="zh-CN"/>
        </w:rPr>
      </w:pPr>
      <w:bookmarkStart w:id="10" w:name="_Toc6483"/>
      <w:r>
        <w:rPr>
          <w:rFonts w:hint="eastAsia" w:ascii="仿宋_GB2312" w:hAnsi="仿宋_GB2312" w:eastAsia="仿宋_GB2312" w:cs="仿宋_GB2312"/>
          <w:b/>
          <w:bCs/>
          <w:sz w:val="28"/>
          <w:szCs w:val="36"/>
          <w:lang w:eastAsia="zh-CN"/>
        </w:rPr>
        <w:t>（</w:t>
      </w:r>
      <w:r>
        <w:rPr>
          <w:rFonts w:hint="eastAsia" w:ascii="仿宋_GB2312" w:hAnsi="仿宋_GB2312" w:eastAsia="仿宋_GB2312" w:cs="仿宋_GB2312"/>
          <w:b/>
          <w:bCs/>
          <w:sz w:val="28"/>
          <w:szCs w:val="36"/>
          <w:lang w:val="en-US" w:eastAsia="zh-CN"/>
        </w:rPr>
        <w:t>2</w:t>
      </w:r>
      <w:r>
        <w:rPr>
          <w:rFonts w:hint="eastAsia" w:ascii="仿宋_GB2312" w:hAnsi="仿宋_GB2312" w:eastAsia="仿宋_GB2312" w:cs="仿宋_GB2312"/>
          <w:b/>
          <w:bCs/>
          <w:sz w:val="28"/>
          <w:szCs w:val="36"/>
          <w:lang w:eastAsia="zh-CN"/>
        </w:rPr>
        <w:t>）资金使用情况</w:t>
      </w:r>
      <w:bookmarkEnd w:id="10"/>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eastAsia" w:ascii="仿宋_GB2312" w:hAnsi="仿宋_GB2312" w:eastAsia="仿宋_GB2312" w:cs="仿宋_GB2312"/>
          <w:sz w:val="28"/>
          <w:szCs w:val="36"/>
        </w:rPr>
      </w:pPr>
      <w:r>
        <w:rPr>
          <w:rFonts w:hint="eastAsia" w:ascii="仿宋_GB2312" w:hAnsi="仿宋_GB2312" w:eastAsia="仿宋_GB2312" w:cs="仿宋_GB2312"/>
          <w:sz w:val="28"/>
          <w:szCs w:val="36"/>
          <w:lang w:val="en-US" w:eastAsia="zh-CN"/>
        </w:rPr>
        <w:t>宁武县文化和旅游局2020年统筹整合财政资金700</w:t>
      </w:r>
      <w:r>
        <w:rPr>
          <w:rFonts w:hint="eastAsia" w:ascii="仿宋_GB2312" w:hAnsi="仿宋_GB2312" w:eastAsia="仿宋_GB2312" w:cs="仿宋_GB2312"/>
          <w:sz w:val="28"/>
          <w:szCs w:val="36"/>
        </w:rPr>
        <w:t>万元，</w:t>
      </w:r>
      <w:r>
        <w:rPr>
          <w:rFonts w:hint="eastAsia" w:ascii="仿宋_GB2312" w:hAnsi="仿宋_GB2312" w:eastAsia="仿宋_GB2312" w:cs="仿宋_GB2312"/>
          <w:sz w:val="28"/>
          <w:szCs w:val="36"/>
          <w:lang w:eastAsia="zh-CN"/>
        </w:rPr>
        <w:t>截至</w:t>
      </w:r>
      <w:r>
        <w:rPr>
          <w:rFonts w:hint="eastAsia" w:ascii="仿宋_GB2312" w:hAnsi="仿宋_GB2312" w:eastAsia="仿宋_GB2312" w:cs="仿宋_GB2312"/>
          <w:sz w:val="28"/>
          <w:szCs w:val="36"/>
          <w:lang w:val="en-US" w:eastAsia="zh-CN"/>
        </w:rPr>
        <w:t>2020</w:t>
      </w:r>
      <w:r>
        <w:rPr>
          <w:rFonts w:hint="eastAsia" w:ascii="仿宋_GB2312" w:hAnsi="仿宋_GB2312" w:eastAsia="仿宋_GB2312" w:cs="仿宋_GB2312"/>
          <w:sz w:val="28"/>
          <w:szCs w:val="36"/>
        </w:rPr>
        <w:t>年12月31日实际支出</w:t>
      </w:r>
      <w:r>
        <w:rPr>
          <w:rFonts w:hint="eastAsia" w:ascii="仿宋_GB2312" w:hAnsi="仿宋_GB2312" w:eastAsia="仿宋_GB2312" w:cs="仿宋_GB2312"/>
          <w:sz w:val="28"/>
          <w:szCs w:val="36"/>
          <w:lang w:val="en-US" w:eastAsia="zh-CN"/>
        </w:rPr>
        <w:t>700</w:t>
      </w:r>
      <w:r>
        <w:rPr>
          <w:rFonts w:hint="eastAsia" w:ascii="仿宋_GB2312" w:hAnsi="仿宋_GB2312" w:eastAsia="仿宋_GB2312" w:cs="仿宋_GB2312"/>
          <w:sz w:val="28"/>
          <w:szCs w:val="36"/>
        </w:rPr>
        <w:t>万元。</w:t>
      </w:r>
      <w:r>
        <w:rPr>
          <w:rFonts w:hint="eastAsia" w:ascii="仿宋_GB2312" w:hAnsi="仿宋_GB2312" w:eastAsia="仿宋_GB2312" w:cs="仿宋_GB2312"/>
          <w:color w:val="000000"/>
          <w:sz w:val="28"/>
          <w:szCs w:val="36"/>
        </w:rPr>
        <w:t>具体各</w:t>
      </w:r>
      <w:r>
        <w:rPr>
          <w:rFonts w:hint="eastAsia" w:ascii="仿宋_GB2312" w:hAnsi="仿宋_GB2312" w:eastAsia="仿宋_GB2312" w:cs="仿宋_GB2312"/>
          <w:color w:val="000000"/>
          <w:sz w:val="28"/>
          <w:szCs w:val="36"/>
          <w:lang w:val="en-US" w:eastAsia="zh-CN"/>
        </w:rPr>
        <w:t>子</w:t>
      </w:r>
      <w:r>
        <w:rPr>
          <w:rFonts w:hint="eastAsia" w:ascii="仿宋_GB2312" w:hAnsi="仿宋_GB2312" w:eastAsia="仿宋_GB2312" w:cs="仿宋_GB2312"/>
          <w:color w:val="000000"/>
          <w:sz w:val="28"/>
          <w:szCs w:val="36"/>
        </w:rPr>
        <w:t>项目资金使用情况</w:t>
      </w:r>
      <w:r>
        <w:rPr>
          <w:rFonts w:hint="eastAsia" w:ascii="仿宋_GB2312" w:hAnsi="仿宋_GB2312" w:eastAsia="仿宋_GB2312" w:cs="仿宋_GB2312"/>
          <w:sz w:val="28"/>
          <w:szCs w:val="36"/>
        </w:rPr>
        <w:t>详见表1-1。</w:t>
      </w:r>
    </w:p>
    <w:p>
      <w:pPr>
        <w:keepNext w:val="0"/>
        <w:keepLines w:val="0"/>
        <w:pageBreakBefore w:val="0"/>
        <w:widowControl w:val="0"/>
        <w:kinsoku/>
        <w:wordWrap/>
        <w:overflowPunct/>
        <w:topLinePunct w:val="0"/>
        <w:autoSpaceDE/>
        <w:autoSpaceDN/>
        <w:bidi w:val="0"/>
        <w:adjustRightInd w:val="0"/>
        <w:snapToGrid w:val="0"/>
        <w:spacing w:before="0" w:line="360" w:lineRule="auto"/>
        <w:ind w:firstLine="0" w:firstLineChars="0"/>
        <w:jc w:val="center"/>
        <w:textAlignment w:val="auto"/>
        <w:rPr>
          <w:rFonts w:hint="eastAsia" w:ascii="宋体" w:hAnsi="宋体" w:eastAsia="宋体" w:cs="宋体"/>
          <w:kern w:val="2"/>
          <w:sz w:val="21"/>
          <w:szCs w:val="20"/>
          <w:lang w:val="en-US" w:eastAsia="zh-CN" w:bidi="ar"/>
        </w:rPr>
      </w:pPr>
      <w:r>
        <w:rPr>
          <w:rFonts w:hint="eastAsia" w:ascii="宋体" w:hAnsi="宋体" w:eastAsia="宋体" w:cs="宋体"/>
          <w:kern w:val="2"/>
          <w:sz w:val="28"/>
          <w:szCs w:val="24"/>
          <w:lang w:val="en-US" w:eastAsia="zh-CN" w:bidi="ar"/>
        </w:rPr>
        <w:t>表1-1 宁武县文化和旅游局2020年统筹整合财政资金使用统计表</w:t>
      </w:r>
    </w:p>
    <w:p>
      <w:pPr>
        <w:keepNext w:val="0"/>
        <w:keepLines w:val="0"/>
        <w:pageBreakBefore w:val="0"/>
        <w:widowControl w:val="0"/>
        <w:kinsoku/>
        <w:wordWrap/>
        <w:overflowPunct/>
        <w:topLinePunct w:val="0"/>
        <w:autoSpaceDE/>
        <w:autoSpaceDN/>
        <w:bidi w:val="0"/>
        <w:adjustRightInd/>
        <w:snapToGrid/>
        <w:spacing w:before="0" w:after="157" w:afterLines="50" w:line="360" w:lineRule="auto"/>
        <w:ind w:firstLine="0" w:firstLineChars="0"/>
        <w:jc w:val="right"/>
        <w:textAlignment w:val="auto"/>
        <w:outlineLvl w:val="2"/>
        <w:rPr>
          <w:rFonts w:ascii="宋体" w:hAnsi="宋体" w:eastAsia="宋体" w:cs="Times New Roman"/>
          <w:kern w:val="2"/>
          <w:sz w:val="21"/>
          <w:szCs w:val="20"/>
          <w:lang w:val="en-US" w:eastAsia="zh-CN" w:bidi="ar-SA"/>
        </w:rPr>
      </w:pPr>
      <w:bookmarkStart w:id="11" w:name="_Toc30298"/>
      <w:r>
        <w:rPr>
          <w:rFonts w:hint="eastAsia" w:ascii="宋体" w:hAnsi="宋体" w:eastAsia="宋体" w:cs="宋体"/>
          <w:kern w:val="2"/>
          <w:sz w:val="21"/>
          <w:szCs w:val="20"/>
          <w:lang w:val="en-US" w:eastAsia="zh-CN" w:bidi="ar"/>
        </w:rPr>
        <w:t>单位：万元</w:t>
      </w:r>
      <w:bookmarkEnd w:id="11"/>
    </w:p>
    <w:tbl>
      <w:tblPr>
        <w:tblStyle w:val="15"/>
        <w:tblW w:w="8738" w:type="dxa"/>
        <w:jc w:val="center"/>
        <w:tblBorders>
          <w:top w:val="double" w:color="auto" w:sz="4" w:space="0"/>
          <w:left w:val="none" w:color="auto" w:sz="0" w:space="0"/>
          <w:bottom w:val="double" w:color="auto" w:sz="4" w:space="0"/>
          <w:right w:val="none" w:color="auto" w:sz="0" w:space="0"/>
          <w:insideH w:val="dotted" w:color="auto" w:sz="4" w:space="0"/>
          <w:insideV w:val="dotted" w:color="auto" w:sz="4" w:space="0"/>
        </w:tblBorders>
        <w:shd w:val="clear" w:color="auto" w:fill="auto"/>
        <w:tblLayout w:type="fixed"/>
        <w:tblCellMar>
          <w:top w:w="0" w:type="dxa"/>
          <w:left w:w="108" w:type="dxa"/>
          <w:bottom w:w="0" w:type="dxa"/>
          <w:right w:w="108" w:type="dxa"/>
        </w:tblCellMar>
      </w:tblPr>
      <w:tblGrid>
        <w:gridCol w:w="1306"/>
        <w:gridCol w:w="3284"/>
        <w:gridCol w:w="1444"/>
        <w:gridCol w:w="1365"/>
        <w:gridCol w:w="1339"/>
      </w:tblGrid>
      <w:tr>
        <w:tblPrEx>
          <w:tblBorders>
            <w:top w:val="double" w:color="auto" w:sz="4" w:space="0"/>
            <w:left w:val="none" w:color="auto" w:sz="0" w:space="0"/>
            <w:bottom w:val="double" w:color="auto" w:sz="4" w:space="0"/>
            <w:right w:val="none" w:color="auto" w:sz="0" w:space="0"/>
            <w:insideH w:val="dotted" w:color="auto" w:sz="4" w:space="0"/>
            <w:insideV w:val="dotted" w:color="auto" w:sz="4" w:space="0"/>
          </w:tblBorders>
          <w:shd w:val="clear" w:color="auto" w:fill="auto"/>
          <w:tblCellMar>
            <w:top w:w="0" w:type="dxa"/>
            <w:left w:w="108" w:type="dxa"/>
            <w:bottom w:w="0" w:type="dxa"/>
            <w:right w:w="108" w:type="dxa"/>
          </w:tblCellMar>
        </w:tblPrEx>
        <w:trPr>
          <w:trHeight w:val="510" w:hRule="atLeast"/>
          <w:tblHeader/>
          <w:jc w:val="center"/>
        </w:trPr>
        <w:tc>
          <w:tcPr>
            <w:tcW w:w="1306" w:type="dxa"/>
            <w:tcBorders>
              <w:tl2br w:val="nil"/>
              <w:tr2bl w:val="nil"/>
            </w:tcBorders>
            <w:shd w:val="clear" w:color="auto" w:fill="BEBEBE" w:themeFill="background1" w:themeFillShade="BF"/>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firstLine="0" w:firstLineChars="0"/>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序号</w:t>
            </w:r>
          </w:p>
        </w:tc>
        <w:tc>
          <w:tcPr>
            <w:tcW w:w="3284" w:type="dxa"/>
            <w:tcBorders>
              <w:tl2br w:val="nil"/>
              <w:tr2bl w:val="nil"/>
            </w:tcBorders>
            <w:shd w:val="clear" w:color="auto" w:fill="BEBEBE" w:themeFill="background1" w:themeFillShade="BF"/>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项目名称</w:t>
            </w:r>
          </w:p>
        </w:tc>
        <w:tc>
          <w:tcPr>
            <w:tcW w:w="1444" w:type="dxa"/>
            <w:tcBorders>
              <w:tl2br w:val="nil"/>
              <w:tr2bl w:val="nil"/>
            </w:tcBorders>
            <w:shd w:val="clear" w:color="auto" w:fill="BEBEBE" w:themeFill="background1" w:themeFillShade="BF"/>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预算金额</w:t>
            </w:r>
          </w:p>
        </w:tc>
        <w:tc>
          <w:tcPr>
            <w:tcW w:w="1365" w:type="dxa"/>
            <w:tcBorders>
              <w:tl2br w:val="nil"/>
              <w:tr2bl w:val="nil"/>
            </w:tcBorders>
            <w:shd w:val="clear" w:color="auto" w:fill="BEBEBE" w:themeFill="background1" w:themeFillShade="BF"/>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支付金额</w:t>
            </w:r>
          </w:p>
        </w:tc>
        <w:tc>
          <w:tcPr>
            <w:tcW w:w="1339" w:type="dxa"/>
            <w:tcBorders>
              <w:tl2br w:val="nil"/>
              <w:tr2bl w:val="nil"/>
            </w:tcBorders>
            <w:shd w:val="clear" w:color="auto" w:fill="BEBEBE" w:themeFill="background1" w:themeFillShade="BF"/>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结余</w:t>
            </w:r>
          </w:p>
        </w:tc>
      </w:tr>
      <w:tr>
        <w:tblPrEx>
          <w:tblBorders>
            <w:top w:val="double" w:color="auto" w:sz="4" w:space="0"/>
            <w:left w:val="none" w:color="auto" w:sz="0" w:space="0"/>
            <w:bottom w:val="doub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510" w:hRule="atLeast"/>
          <w:jc w:val="center"/>
        </w:trPr>
        <w:tc>
          <w:tcPr>
            <w:tcW w:w="1306"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w:t>
            </w:r>
          </w:p>
        </w:tc>
        <w:tc>
          <w:tcPr>
            <w:tcW w:w="3284"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建筑工程</w:t>
            </w:r>
          </w:p>
        </w:tc>
        <w:tc>
          <w:tcPr>
            <w:tcW w:w="1444"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256.6</w:t>
            </w:r>
          </w:p>
        </w:tc>
        <w:tc>
          <w:tcPr>
            <w:tcW w:w="13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256.6</w:t>
            </w:r>
          </w:p>
        </w:tc>
        <w:tc>
          <w:tcPr>
            <w:tcW w:w="1339"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0</w:t>
            </w:r>
          </w:p>
        </w:tc>
      </w:tr>
      <w:tr>
        <w:tblPrEx>
          <w:tblBorders>
            <w:top w:val="double" w:color="auto" w:sz="4" w:space="0"/>
            <w:left w:val="none" w:color="auto" w:sz="0" w:space="0"/>
            <w:bottom w:val="double" w:color="auto" w:sz="4" w:space="0"/>
            <w:right w:val="none" w:color="auto" w:sz="0" w:space="0"/>
            <w:insideH w:val="dotted" w:color="auto" w:sz="4" w:space="0"/>
            <w:insideV w:val="dotted" w:color="auto" w:sz="4" w:space="0"/>
          </w:tblBorders>
          <w:shd w:val="clear" w:color="auto" w:fill="auto"/>
          <w:tblCellMar>
            <w:top w:w="0" w:type="dxa"/>
            <w:left w:w="108" w:type="dxa"/>
            <w:bottom w:w="0" w:type="dxa"/>
            <w:right w:w="108" w:type="dxa"/>
          </w:tblCellMar>
        </w:tblPrEx>
        <w:trPr>
          <w:trHeight w:val="510" w:hRule="atLeast"/>
          <w:jc w:val="center"/>
        </w:trPr>
        <w:tc>
          <w:tcPr>
            <w:tcW w:w="1306"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w:t>
            </w:r>
          </w:p>
        </w:tc>
        <w:tc>
          <w:tcPr>
            <w:tcW w:w="3284"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安装工程</w:t>
            </w:r>
          </w:p>
        </w:tc>
        <w:tc>
          <w:tcPr>
            <w:tcW w:w="1444"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137.65</w:t>
            </w:r>
          </w:p>
        </w:tc>
        <w:tc>
          <w:tcPr>
            <w:tcW w:w="13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137.65</w:t>
            </w:r>
          </w:p>
        </w:tc>
        <w:tc>
          <w:tcPr>
            <w:tcW w:w="1339"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0</w:t>
            </w:r>
          </w:p>
        </w:tc>
      </w:tr>
      <w:tr>
        <w:tblPrEx>
          <w:tblBorders>
            <w:top w:val="double" w:color="auto" w:sz="4" w:space="0"/>
            <w:left w:val="none" w:color="auto" w:sz="0" w:space="0"/>
            <w:bottom w:val="double" w:color="auto" w:sz="4" w:space="0"/>
            <w:right w:val="none" w:color="auto" w:sz="0" w:space="0"/>
            <w:insideH w:val="dotted" w:color="auto" w:sz="4" w:space="0"/>
            <w:insideV w:val="dotted" w:color="auto" w:sz="4" w:space="0"/>
          </w:tblBorders>
          <w:shd w:val="clear" w:color="auto" w:fill="auto"/>
          <w:tblCellMar>
            <w:top w:w="0" w:type="dxa"/>
            <w:left w:w="108" w:type="dxa"/>
            <w:bottom w:w="0" w:type="dxa"/>
            <w:right w:w="108" w:type="dxa"/>
          </w:tblCellMar>
        </w:tblPrEx>
        <w:trPr>
          <w:trHeight w:val="510" w:hRule="atLeast"/>
          <w:jc w:val="center"/>
        </w:trPr>
        <w:tc>
          <w:tcPr>
            <w:tcW w:w="1306"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3</w:t>
            </w:r>
          </w:p>
        </w:tc>
        <w:tc>
          <w:tcPr>
            <w:tcW w:w="3284"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加固维修</w:t>
            </w:r>
          </w:p>
        </w:tc>
        <w:tc>
          <w:tcPr>
            <w:tcW w:w="1444"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120</w:t>
            </w:r>
          </w:p>
        </w:tc>
        <w:tc>
          <w:tcPr>
            <w:tcW w:w="13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120</w:t>
            </w:r>
          </w:p>
        </w:tc>
        <w:tc>
          <w:tcPr>
            <w:tcW w:w="1339"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0</w:t>
            </w:r>
          </w:p>
        </w:tc>
      </w:tr>
      <w:tr>
        <w:tblPrEx>
          <w:tblBorders>
            <w:top w:val="double" w:color="auto" w:sz="4" w:space="0"/>
            <w:left w:val="none" w:color="auto" w:sz="0" w:space="0"/>
            <w:bottom w:val="double" w:color="auto" w:sz="4" w:space="0"/>
            <w:right w:val="none" w:color="auto" w:sz="0" w:space="0"/>
            <w:insideH w:val="dotted" w:color="auto" w:sz="4" w:space="0"/>
            <w:insideV w:val="dotted" w:color="auto" w:sz="4" w:space="0"/>
          </w:tblBorders>
          <w:shd w:val="clear" w:color="auto" w:fill="auto"/>
          <w:tblCellMar>
            <w:top w:w="0" w:type="dxa"/>
            <w:left w:w="108" w:type="dxa"/>
            <w:bottom w:w="0" w:type="dxa"/>
            <w:right w:w="108" w:type="dxa"/>
          </w:tblCellMar>
        </w:tblPrEx>
        <w:trPr>
          <w:trHeight w:val="510" w:hRule="atLeast"/>
          <w:jc w:val="center"/>
        </w:trPr>
        <w:tc>
          <w:tcPr>
            <w:tcW w:w="1306"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4</w:t>
            </w:r>
          </w:p>
        </w:tc>
        <w:tc>
          <w:tcPr>
            <w:tcW w:w="3284"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装饰工程</w:t>
            </w:r>
          </w:p>
        </w:tc>
        <w:tc>
          <w:tcPr>
            <w:tcW w:w="1444"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185.75</w:t>
            </w:r>
          </w:p>
        </w:tc>
        <w:tc>
          <w:tcPr>
            <w:tcW w:w="136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185.75</w:t>
            </w:r>
          </w:p>
        </w:tc>
        <w:tc>
          <w:tcPr>
            <w:tcW w:w="1339"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0</w:t>
            </w:r>
          </w:p>
        </w:tc>
      </w:tr>
      <w:tr>
        <w:tblPrEx>
          <w:tblBorders>
            <w:top w:val="double" w:color="auto" w:sz="4" w:space="0"/>
            <w:left w:val="none" w:color="auto" w:sz="0" w:space="0"/>
            <w:bottom w:val="double" w:color="auto" w:sz="4" w:space="0"/>
            <w:right w:val="none" w:color="auto" w:sz="0" w:space="0"/>
            <w:insideH w:val="dotted" w:color="auto" w:sz="4" w:space="0"/>
            <w:insideV w:val="dotted" w:color="auto" w:sz="4" w:space="0"/>
          </w:tblBorders>
          <w:shd w:val="clear" w:color="auto" w:fill="auto"/>
          <w:tblCellMar>
            <w:top w:w="0" w:type="dxa"/>
            <w:left w:w="108" w:type="dxa"/>
            <w:bottom w:w="0" w:type="dxa"/>
            <w:right w:w="108" w:type="dxa"/>
          </w:tblCellMar>
        </w:tblPrEx>
        <w:trPr>
          <w:trHeight w:val="510" w:hRule="atLeast"/>
          <w:jc w:val="center"/>
        </w:trPr>
        <w:tc>
          <w:tcPr>
            <w:tcW w:w="4590" w:type="dxa"/>
            <w:gridSpan w:val="2"/>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合计</w:t>
            </w:r>
          </w:p>
        </w:tc>
        <w:tc>
          <w:tcPr>
            <w:tcW w:w="1444"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宋体" w:hAnsi="宋体" w:eastAsia="宋体" w:cs="宋体"/>
                <w:i w:val="0"/>
                <w:iCs w:val="0"/>
                <w:color w:val="000000"/>
                <w:kern w:val="0"/>
                <w:sz w:val="24"/>
                <w:szCs w:val="24"/>
                <w:u w:val="none"/>
                <w:lang w:eastAsia="zh-CN" w:bidi="ar"/>
              </w:rPr>
            </w:pPr>
            <w:r>
              <w:rPr>
                <w:rFonts w:hint="default" w:ascii="宋体" w:hAnsi="宋体" w:eastAsia="宋体" w:cs="宋体"/>
                <w:i w:val="0"/>
                <w:iCs w:val="0"/>
                <w:color w:val="000000"/>
                <w:kern w:val="0"/>
                <w:sz w:val="24"/>
                <w:szCs w:val="24"/>
                <w:u w:val="none"/>
                <w:lang w:eastAsia="zh-CN" w:bidi="ar"/>
              </w:rPr>
              <w:fldChar w:fldCharType="begin"/>
            </w:r>
            <w:r>
              <w:rPr>
                <w:rFonts w:hint="default" w:ascii="宋体" w:hAnsi="宋体" w:eastAsia="宋体" w:cs="宋体"/>
                <w:i w:val="0"/>
                <w:iCs w:val="0"/>
                <w:color w:val="000000"/>
                <w:kern w:val="0"/>
                <w:sz w:val="24"/>
                <w:szCs w:val="24"/>
                <w:u w:val="none"/>
                <w:lang w:eastAsia="zh-CN" w:bidi="ar"/>
              </w:rPr>
              <w:instrText xml:space="preserve"> =SUM(ABOVE) \* MERGEFORMAT </w:instrText>
            </w:r>
            <w:r>
              <w:rPr>
                <w:rFonts w:hint="default" w:ascii="宋体" w:hAnsi="宋体" w:eastAsia="宋体" w:cs="宋体"/>
                <w:i w:val="0"/>
                <w:iCs w:val="0"/>
                <w:color w:val="000000"/>
                <w:kern w:val="0"/>
                <w:sz w:val="24"/>
                <w:szCs w:val="24"/>
                <w:u w:val="none"/>
                <w:lang w:eastAsia="zh-CN" w:bidi="ar"/>
              </w:rPr>
              <w:fldChar w:fldCharType="separate"/>
            </w:r>
            <w:r>
              <w:rPr>
                <w:rFonts w:hint="default" w:ascii="宋体" w:hAnsi="宋体" w:eastAsia="宋体" w:cs="宋体"/>
                <w:i w:val="0"/>
                <w:iCs w:val="0"/>
                <w:color w:val="000000"/>
                <w:kern w:val="0"/>
                <w:sz w:val="24"/>
                <w:szCs w:val="24"/>
                <w:u w:val="none"/>
                <w:lang w:eastAsia="zh-CN" w:bidi="ar"/>
              </w:rPr>
              <w:t>700</w:t>
            </w:r>
            <w:r>
              <w:rPr>
                <w:rFonts w:hint="default" w:ascii="宋体" w:hAnsi="宋体" w:eastAsia="宋体" w:cs="宋体"/>
                <w:i w:val="0"/>
                <w:iCs w:val="0"/>
                <w:color w:val="000000"/>
                <w:kern w:val="0"/>
                <w:sz w:val="24"/>
                <w:szCs w:val="24"/>
                <w:u w:val="none"/>
                <w:lang w:eastAsia="zh-CN" w:bidi="ar"/>
              </w:rPr>
              <w:fldChar w:fldCharType="end"/>
            </w:r>
          </w:p>
        </w:tc>
        <w:tc>
          <w:tcPr>
            <w:tcW w:w="1365"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eastAsia" w:ascii="宋体" w:hAnsi="宋体" w:eastAsia="宋体" w:cs="宋体"/>
                <w:i w:val="0"/>
                <w:iCs w:val="0"/>
                <w:color w:val="000000"/>
                <w:kern w:val="0"/>
                <w:sz w:val="24"/>
                <w:szCs w:val="24"/>
                <w:u w:val="none"/>
                <w:lang w:val="en-US" w:eastAsia="zh-CN" w:bidi="ar"/>
              </w:rPr>
            </w:pPr>
            <w:r>
              <w:rPr>
                <w:rFonts w:hint="default" w:ascii="宋体" w:hAnsi="宋体" w:eastAsia="宋体" w:cs="宋体"/>
                <w:i w:val="0"/>
                <w:iCs w:val="0"/>
                <w:color w:val="000000"/>
                <w:kern w:val="0"/>
                <w:sz w:val="24"/>
                <w:szCs w:val="24"/>
                <w:u w:val="none"/>
                <w:lang w:eastAsia="zh-CN" w:bidi="ar"/>
              </w:rPr>
              <w:fldChar w:fldCharType="begin"/>
            </w:r>
            <w:r>
              <w:rPr>
                <w:rFonts w:hint="default" w:ascii="宋体" w:hAnsi="宋体" w:eastAsia="宋体" w:cs="宋体"/>
                <w:i w:val="0"/>
                <w:iCs w:val="0"/>
                <w:color w:val="000000"/>
                <w:kern w:val="0"/>
                <w:sz w:val="24"/>
                <w:szCs w:val="24"/>
                <w:u w:val="none"/>
                <w:lang w:eastAsia="zh-CN" w:bidi="ar"/>
              </w:rPr>
              <w:instrText xml:space="preserve"> =SUM(ABOVE) \* MERGEFORMAT </w:instrText>
            </w:r>
            <w:r>
              <w:rPr>
                <w:rFonts w:hint="default" w:ascii="宋体" w:hAnsi="宋体" w:eastAsia="宋体" w:cs="宋体"/>
                <w:i w:val="0"/>
                <w:iCs w:val="0"/>
                <w:color w:val="000000"/>
                <w:kern w:val="0"/>
                <w:sz w:val="24"/>
                <w:szCs w:val="24"/>
                <w:u w:val="none"/>
                <w:lang w:eastAsia="zh-CN" w:bidi="ar"/>
              </w:rPr>
              <w:fldChar w:fldCharType="separate"/>
            </w:r>
            <w:r>
              <w:rPr>
                <w:rFonts w:hint="default" w:ascii="宋体" w:hAnsi="宋体" w:eastAsia="宋体" w:cs="宋体"/>
                <w:i w:val="0"/>
                <w:iCs w:val="0"/>
                <w:color w:val="000000"/>
                <w:kern w:val="0"/>
                <w:sz w:val="24"/>
                <w:szCs w:val="24"/>
                <w:u w:val="none"/>
                <w:lang w:eastAsia="zh-CN" w:bidi="ar"/>
              </w:rPr>
              <w:t>700</w:t>
            </w:r>
            <w:r>
              <w:rPr>
                <w:rFonts w:hint="default" w:ascii="宋体" w:hAnsi="宋体" w:eastAsia="宋体" w:cs="宋体"/>
                <w:i w:val="0"/>
                <w:iCs w:val="0"/>
                <w:color w:val="000000"/>
                <w:kern w:val="0"/>
                <w:sz w:val="24"/>
                <w:szCs w:val="24"/>
                <w:u w:val="none"/>
                <w:lang w:eastAsia="zh-CN" w:bidi="ar"/>
              </w:rPr>
              <w:fldChar w:fldCharType="end"/>
            </w:r>
          </w:p>
        </w:tc>
        <w:tc>
          <w:tcPr>
            <w:tcW w:w="1339"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0</w:t>
            </w:r>
          </w:p>
        </w:tc>
      </w:tr>
    </w:tbl>
    <w:p>
      <w:pPr>
        <w:pStyle w:val="5"/>
        <w:keepNext/>
        <w:keepLines/>
        <w:pageBreakBefore w:val="0"/>
        <w:widowControl w:val="0"/>
        <w:kinsoku/>
        <w:wordWrap/>
        <w:overflowPunct/>
        <w:topLinePunct w:val="0"/>
        <w:autoSpaceDE/>
        <w:autoSpaceDN/>
        <w:bidi w:val="0"/>
        <w:adjustRightInd w:val="0"/>
        <w:snapToGrid w:val="0"/>
        <w:spacing w:before="157" w:beforeLines="50" w:line="360" w:lineRule="auto"/>
        <w:ind w:firstLine="560" w:firstLineChars="200"/>
        <w:textAlignment w:val="auto"/>
        <w:rPr>
          <w:rFonts w:hint="default"/>
          <w:szCs w:val="22"/>
          <w:lang w:val="en-US" w:eastAsia="zh-CN"/>
        </w:rPr>
      </w:pPr>
      <w:bookmarkStart w:id="12" w:name="_Toc14934"/>
      <w:r>
        <w:rPr>
          <w:rFonts w:hint="eastAsia"/>
          <w:szCs w:val="22"/>
          <w:lang w:val="en-US" w:eastAsia="zh-CN"/>
        </w:rPr>
        <w:t>（四）</w:t>
      </w:r>
      <w:bookmarkEnd w:id="12"/>
      <w:r>
        <w:rPr>
          <w:rFonts w:hint="eastAsia"/>
          <w:szCs w:val="22"/>
          <w:lang w:val="en-US" w:eastAsia="zh-CN"/>
        </w:rPr>
        <w:t>绩效目标</w:t>
      </w:r>
    </w:p>
    <w:p>
      <w:pPr>
        <w:pStyle w:val="6"/>
        <w:bidi w:val="0"/>
        <w:rPr>
          <w:rFonts w:hint="eastAsia" w:ascii="仿宋_GB2312" w:hAnsi="仿宋_GB2312" w:eastAsia="仿宋_GB2312" w:cs="仿宋_GB2312"/>
          <w:sz w:val="28"/>
          <w:szCs w:val="24"/>
          <w:lang w:val="en-US" w:eastAsia="zh-CN"/>
        </w:rPr>
      </w:pPr>
      <w:r>
        <w:rPr>
          <w:rFonts w:hint="eastAsia" w:ascii="仿宋_GB2312" w:hAnsi="仿宋_GB2312" w:eastAsia="仿宋_GB2312" w:cs="仿宋_GB2312"/>
          <w:sz w:val="28"/>
          <w:szCs w:val="24"/>
          <w:lang w:val="en-US" w:eastAsia="zh-CN"/>
        </w:rPr>
        <w:t>1.总体目标</w:t>
      </w:r>
    </w:p>
    <w:p>
      <w:pPr>
        <w:pStyle w:val="2"/>
        <w:pageBreakBefore w:val="0"/>
        <w:widowControl w:val="0"/>
        <w:kinsoku/>
        <w:wordWrap/>
        <w:overflowPunct/>
        <w:topLinePunct w:val="0"/>
        <w:autoSpaceDE/>
        <w:autoSpaceDN/>
        <w:bidi w:val="0"/>
        <w:adjustRightInd/>
        <w:snapToGrid/>
        <w:spacing w:afterLines="0" w:line="360" w:lineRule="auto"/>
        <w:ind w:firstLine="560" w:firstLineChars="200"/>
        <w:textAlignment w:val="auto"/>
        <w:rPr>
          <w:rFonts w:hint="eastAsia"/>
        </w:rPr>
      </w:pPr>
      <w:r>
        <w:rPr>
          <w:rFonts w:hint="eastAsia"/>
        </w:rPr>
        <w:t>充分挖掘和利用</w:t>
      </w:r>
      <w:r>
        <w:rPr>
          <w:rFonts w:hint="eastAsia"/>
          <w:lang w:val="en-US" w:eastAsia="zh-CN"/>
        </w:rPr>
        <w:t>芦芽山</w:t>
      </w:r>
      <w:r>
        <w:rPr>
          <w:rFonts w:hint="eastAsia"/>
        </w:rPr>
        <w:t>文化旅游区自然、人文和社会旅游资源，以市场为导向，开发</w:t>
      </w:r>
      <w:r>
        <w:rPr>
          <w:rFonts w:hint="eastAsia"/>
          <w:lang w:val="en-US" w:eastAsia="zh-CN"/>
        </w:rPr>
        <w:t>芦芽</w:t>
      </w:r>
      <w:r>
        <w:rPr>
          <w:rFonts w:hint="eastAsia"/>
        </w:rPr>
        <w:t>山文化旅游区旅游产品，形成文化旅游、康养旅游、观光旅游和休闲旅游产品体系，发展</w:t>
      </w:r>
      <w:r>
        <w:rPr>
          <w:rFonts w:hint="eastAsia"/>
          <w:lang w:val="en-US" w:eastAsia="zh-CN"/>
        </w:rPr>
        <w:t>宁武县</w:t>
      </w:r>
      <w:r>
        <w:rPr>
          <w:rFonts w:hint="eastAsia"/>
        </w:rPr>
        <w:t>旅游业，利用</w:t>
      </w:r>
      <w:r>
        <w:rPr>
          <w:rFonts w:hint="eastAsia"/>
          <w:lang w:val="en-US" w:eastAsia="zh-CN"/>
        </w:rPr>
        <w:t>芦芽</w:t>
      </w:r>
      <w:r>
        <w:rPr>
          <w:rFonts w:hint="eastAsia"/>
        </w:rPr>
        <w:t>山文化旅游区把</w:t>
      </w:r>
      <w:r>
        <w:rPr>
          <w:rFonts w:hint="eastAsia"/>
          <w:lang w:val="en-US" w:eastAsia="zh-CN"/>
        </w:rPr>
        <w:t>东寨</w:t>
      </w:r>
      <w:r>
        <w:rPr>
          <w:rFonts w:hint="eastAsia"/>
        </w:rPr>
        <w:t>镇建成</w:t>
      </w:r>
      <w:r>
        <w:rPr>
          <w:rFonts w:hint="eastAsia"/>
          <w:lang w:val="en-US" w:eastAsia="zh-CN"/>
        </w:rPr>
        <w:t>宁武</w:t>
      </w:r>
      <w:r>
        <w:rPr>
          <w:rFonts w:hint="eastAsia"/>
        </w:rPr>
        <w:t>县的重要旅游、服务中心区域，建成</w:t>
      </w:r>
      <w:r>
        <w:rPr>
          <w:rFonts w:hint="eastAsia"/>
          <w:lang w:val="en-US" w:eastAsia="zh-CN"/>
        </w:rPr>
        <w:t>宁武</w:t>
      </w:r>
      <w:r>
        <w:rPr>
          <w:rFonts w:hint="eastAsia"/>
        </w:rPr>
        <w:t>县乃至忻州市以传统文化、旅游服务产品为核心主体，观光旅游、休闲康养为补充的旅游目的地。通过</w:t>
      </w:r>
      <w:r>
        <w:rPr>
          <w:rFonts w:hint="eastAsia"/>
          <w:lang w:val="en-US" w:eastAsia="zh-CN"/>
        </w:rPr>
        <w:t>芦芽</w:t>
      </w:r>
      <w:r>
        <w:rPr>
          <w:rFonts w:hint="eastAsia"/>
        </w:rPr>
        <w:t>山文化旅游区旅游目的地的建设和旅游业的发展，提升</w:t>
      </w:r>
      <w:r>
        <w:rPr>
          <w:rFonts w:hint="eastAsia"/>
          <w:lang w:val="en-US" w:eastAsia="zh-CN"/>
        </w:rPr>
        <w:t>宁武</w:t>
      </w:r>
      <w:r>
        <w:rPr>
          <w:rFonts w:hint="eastAsia"/>
        </w:rPr>
        <w:t>县的旅游产品档次，促进</w:t>
      </w:r>
      <w:r>
        <w:rPr>
          <w:rFonts w:hint="eastAsia"/>
          <w:lang w:val="en-US" w:eastAsia="zh-CN"/>
        </w:rPr>
        <w:t>东寨</w:t>
      </w:r>
      <w:r>
        <w:rPr>
          <w:rFonts w:hint="eastAsia"/>
        </w:rPr>
        <w:t>镇生活环境的改善，促进</w:t>
      </w:r>
      <w:r>
        <w:rPr>
          <w:rFonts w:hint="eastAsia"/>
          <w:lang w:val="en-US" w:eastAsia="zh-CN"/>
        </w:rPr>
        <w:t>东寨</w:t>
      </w:r>
      <w:r>
        <w:rPr>
          <w:rFonts w:hint="eastAsia"/>
        </w:rPr>
        <w:t>镇社会、经济、环境的可持续发展，提高</w:t>
      </w:r>
      <w:r>
        <w:rPr>
          <w:rFonts w:hint="eastAsia"/>
          <w:lang w:val="en-US" w:eastAsia="zh-CN"/>
        </w:rPr>
        <w:t>东寨</w:t>
      </w:r>
      <w:r>
        <w:rPr>
          <w:rFonts w:hint="eastAsia"/>
        </w:rPr>
        <w:t>镇人民的生活水平</w:t>
      </w:r>
      <w:r>
        <w:rPr>
          <w:rFonts w:hint="eastAsia"/>
          <w:lang w:eastAsia="zh-CN"/>
        </w:rPr>
        <w:t>，</w:t>
      </w:r>
      <w:r>
        <w:rPr>
          <w:rFonts w:hint="eastAsia"/>
        </w:rPr>
        <w:t>为</w:t>
      </w:r>
      <w:r>
        <w:rPr>
          <w:rFonts w:hint="eastAsia"/>
          <w:lang w:val="en-US" w:eastAsia="zh-CN"/>
        </w:rPr>
        <w:t>宁武</w:t>
      </w:r>
      <w:r>
        <w:rPr>
          <w:rFonts w:hint="eastAsia"/>
        </w:rPr>
        <w:t>乃至忻州市的旅游业</w:t>
      </w:r>
      <w:r>
        <w:rPr>
          <w:rFonts w:hint="eastAsia"/>
          <w:lang w:eastAsia="zh-CN"/>
        </w:rPr>
        <w:t>作出</w:t>
      </w:r>
      <w:r>
        <w:rPr>
          <w:rFonts w:hint="eastAsia"/>
        </w:rPr>
        <w:t>积极贡献。</w:t>
      </w:r>
    </w:p>
    <w:p>
      <w:pPr>
        <w:keepNext w:val="0"/>
        <w:keepLines w:val="0"/>
        <w:pageBreakBefore w:val="0"/>
        <w:widowControl w:val="0"/>
        <w:kinsoku/>
        <w:wordWrap/>
        <w:overflowPunct/>
        <w:topLinePunct w:val="0"/>
        <w:bidi w:val="0"/>
        <w:adjustRightInd w:val="0"/>
        <w:snapToGrid w:val="0"/>
        <w:spacing w:before="0" w:beforeLines="0" w:line="360" w:lineRule="auto"/>
        <w:ind w:firstLine="562" w:firstLineChars="200"/>
        <w:jc w:val="both"/>
        <w:textAlignment w:val="auto"/>
        <w:outlineLvl w:val="2"/>
        <w:rPr>
          <w:rFonts w:hint="eastAsia" w:ascii="仿宋_GB2312" w:hAnsi="仿宋_GB2312" w:eastAsia="仿宋_GB2312" w:cs="仿宋_GB2312"/>
          <w:b/>
          <w:bCs/>
          <w:i w:val="0"/>
          <w:iCs w:val="0"/>
          <w:caps w:val="0"/>
          <w:color w:val="000000"/>
          <w:spacing w:val="0"/>
          <w:kern w:val="2"/>
          <w:sz w:val="28"/>
          <w:szCs w:val="27"/>
          <w:highlight w:val="none"/>
          <w:lang w:val="en-US" w:eastAsia="zh-CN" w:bidi="ar-SA"/>
        </w:rPr>
      </w:pPr>
      <w:bookmarkStart w:id="13" w:name="_Toc25445"/>
      <w:r>
        <w:rPr>
          <w:rFonts w:hint="eastAsia" w:ascii="仿宋_GB2312" w:hAnsi="仿宋_GB2312" w:eastAsia="仿宋_GB2312" w:cstheme="minorBidi"/>
          <w:b/>
          <w:bCs/>
          <w:kern w:val="2"/>
          <w:sz w:val="28"/>
          <w:szCs w:val="32"/>
          <w:lang w:val="en-US" w:eastAsia="zh-CN" w:bidi="ar-SA"/>
        </w:rPr>
        <w:t>2.具体目标</w:t>
      </w:r>
      <w:bookmarkEnd w:id="13"/>
    </w:p>
    <w:p>
      <w:pPr>
        <w:keepNext w:val="0"/>
        <w:keepLines w:val="0"/>
        <w:pageBreakBefore w:val="0"/>
        <w:widowControl w:val="0"/>
        <w:kinsoku/>
        <w:wordWrap/>
        <w:overflowPunct/>
        <w:topLinePunct w:val="0"/>
        <w:bidi w:val="0"/>
        <w:adjustRightInd w:val="0"/>
        <w:snapToGrid w:val="0"/>
        <w:spacing w:before="0" w:beforeLines="0" w:line="360" w:lineRule="auto"/>
        <w:ind w:firstLine="560" w:firstLineChars="200"/>
        <w:jc w:val="both"/>
        <w:textAlignment w:val="auto"/>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kern w:val="2"/>
          <w:sz w:val="28"/>
          <w:szCs w:val="20"/>
          <w:lang w:val="en-US" w:eastAsia="zh-CN" w:bidi="ar-SA"/>
        </w:rPr>
        <w:t>（1）</w:t>
      </w:r>
      <w:r>
        <w:rPr>
          <w:rFonts w:hint="eastAsia" w:ascii="仿宋_GB2312" w:hAnsi="仿宋_GB2312" w:eastAsia="仿宋_GB2312" w:cs="仿宋_GB2312"/>
          <w:sz w:val="28"/>
          <w:szCs w:val="28"/>
          <w:lang w:eastAsia="zh-CN"/>
        </w:rPr>
        <w:t>宁武县东寨旅游特色一条街</w:t>
      </w:r>
      <w:r>
        <w:rPr>
          <w:rFonts w:hint="eastAsia" w:ascii="仿宋_GB2312" w:hAnsi="仿宋_GB2312" w:eastAsia="仿宋_GB2312" w:cs="仿宋_GB2312"/>
          <w:kern w:val="2"/>
          <w:sz w:val="28"/>
          <w:szCs w:val="20"/>
          <w:lang w:val="en-US" w:eastAsia="zh-CN" w:bidi="ar-SA"/>
        </w:rPr>
        <w:t>建筑工程、安装工程、加固维修、装饰工程</w:t>
      </w:r>
      <w:r>
        <w:rPr>
          <w:rFonts w:hint="eastAsia" w:ascii="仿宋_GB2312" w:hAnsi="仿宋_GB2312" w:eastAsia="仿宋_GB2312" w:cs="仿宋_GB2312"/>
          <w:i w:val="0"/>
          <w:iCs w:val="0"/>
          <w:color w:val="000000"/>
          <w:kern w:val="0"/>
          <w:sz w:val="28"/>
          <w:szCs w:val="28"/>
          <w:u w:val="none"/>
          <w:lang w:val="en-US" w:eastAsia="zh-CN" w:bidi="ar"/>
        </w:rPr>
        <w:t>按时完成；</w:t>
      </w:r>
    </w:p>
    <w:p>
      <w:pPr>
        <w:keepNext w:val="0"/>
        <w:keepLines w:val="0"/>
        <w:pageBreakBefore w:val="0"/>
        <w:widowControl w:val="0"/>
        <w:kinsoku/>
        <w:wordWrap/>
        <w:overflowPunct/>
        <w:topLinePunct w:val="0"/>
        <w:bidi w:val="0"/>
        <w:adjustRightInd w:val="0"/>
        <w:snapToGrid w:val="0"/>
        <w:spacing w:before="0" w:beforeLines="0" w:line="360" w:lineRule="auto"/>
        <w:ind w:firstLine="560" w:firstLineChars="200"/>
        <w:jc w:val="both"/>
        <w:textAlignment w:val="auto"/>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（2）项目竣工验收合格；</w:t>
      </w:r>
    </w:p>
    <w:p>
      <w:pPr>
        <w:keepNext w:val="0"/>
        <w:keepLines w:val="0"/>
        <w:pageBreakBefore w:val="0"/>
        <w:widowControl w:val="0"/>
        <w:kinsoku/>
        <w:wordWrap/>
        <w:overflowPunct/>
        <w:topLinePunct w:val="0"/>
        <w:bidi w:val="0"/>
        <w:adjustRightInd w:val="0"/>
        <w:snapToGrid w:val="0"/>
        <w:spacing w:before="0" w:beforeLines="0" w:line="360" w:lineRule="auto"/>
        <w:ind w:firstLine="560" w:firstLineChars="200"/>
        <w:jc w:val="both"/>
        <w:textAlignment w:val="auto"/>
        <w:rPr>
          <w:rFonts w:hint="eastAsia" w:ascii="仿宋_GB2312" w:hAnsi="仿宋_GB2312" w:eastAsia="仿宋_GB2312" w:cs="仿宋_GB2312"/>
          <w:i w:val="0"/>
          <w:iCs w:val="0"/>
          <w:color w:val="000000"/>
          <w:kern w:val="0"/>
          <w:sz w:val="28"/>
          <w:szCs w:val="28"/>
          <w:u w:val="none"/>
          <w:lang w:val="en-US" w:eastAsia="zh-CN" w:bidi="ar"/>
        </w:rPr>
      </w:pPr>
      <w:r>
        <w:rPr>
          <w:rFonts w:hint="eastAsia" w:ascii="仿宋_GB2312" w:hAnsi="仿宋_GB2312" w:eastAsia="仿宋_GB2312" w:cs="仿宋_GB2312"/>
          <w:i w:val="0"/>
          <w:iCs w:val="0"/>
          <w:color w:val="000000"/>
          <w:kern w:val="0"/>
          <w:sz w:val="28"/>
          <w:szCs w:val="28"/>
          <w:u w:val="none"/>
          <w:lang w:val="en-US" w:eastAsia="zh-CN" w:bidi="ar"/>
        </w:rPr>
        <w:t>（3）</w:t>
      </w:r>
      <w:r>
        <w:rPr>
          <w:rFonts w:hint="eastAsia" w:ascii="仿宋_GB2312" w:hAnsi="仿宋_GB2312" w:eastAsia="仿宋_GB2312" w:cs="仿宋_GB2312"/>
          <w:sz w:val="28"/>
          <w:szCs w:val="28"/>
          <w:lang w:val="en-US" w:eastAsia="zh-CN"/>
        </w:rPr>
        <w:t>加强前期旅游</w:t>
      </w:r>
      <w:r>
        <w:rPr>
          <w:rFonts w:hint="eastAsia" w:ascii="仿宋_GB2312" w:hAnsi="仿宋_GB2312" w:eastAsia="仿宋_GB2312" w:cs="仿宋_GB2312"/>
          <w:sz w:val="28"/>
          <w:szCs w:val="28"/>
          <w:lang w:eastAsia="zh-CN"/>
        </w:rPr>
        <w:t>宣传</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i w:val="0"/>
          <w:iCs w:val="0"/>
          <w:color w:val="000000"/>
          <w:kern w:val="0"/>
          <w:sz w:val="28"/>
          <w:szCs w:val="28"/>
          <w:u w:val="none"/>
          <w:lang w:val="en-US" w:eastAsia="zh-CN" w:bidi="ar"/>
        </w:rPr>
        <w:t>做好特色一条街招商引资工作；</w:t>
      </w:r>
    </w:p>
    <w:p>
      <w:pPr>
        <w:keepNext w:val="0"/>
        <w:keepLines w:val="0"/>
        <w:pageBreakBefore w:val="0"/>
        <w:widowControl w:val="0"/>
        <w:kinsoku/>
        <w:wordWrap/>
        <w:overflowPunct/>
        <w:topLinePunct w:val="0"/>
        <w:bidi w:val="0"/>
        <w:adjustRightInd w:val="0"/>
        <w:snapToGrid w:val="0"/>
        <w:spacing w:before="0" w:beforeLines="0" w:line="360" w:lineRule="auto"/>
        <w:ind w:firstLine="560" w:firstLineChars="200"/>
        <w:jc w:val="both"/>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i w:val="0"/>
          <w:iCs w:val="0"/>
          <w:color w:val="000000"/>
          <w:kern w:val="0"/>
          <w:sz w:val="28"/>
          <w:szCs w:val="28"/>
          <w:u w:val="none"/>
          <w:lang w:val="en-US" w:eastAsia="zh-CN" w:bidi="ar"/>
        </w:rPr>
        <w:t>（4）开拓旅游市场，</w:t>
      </w:r>
      <w:r>
        <w:rPr>
          <w:rFonts w:hint="eastAsia" w:ascii="仿宋_GB2312" w:hAnsi="仿宋_GB2312" w:eastAsia="仿宋_GB2312" w:cs="仿宋_GB2312"/>
          <w:sz w:val="28"/>
          <w:szCs w:val="28"/>
          <w:lang w:val="en-US" w:eastAsia="zh-CN"/>
        </w:rPr>
        <w:t>加强</w:t>
      </w:r>
      <w:r>
        <w:rPr>
          <w:rFonts w:hint="eastAsia" w:ascii="仿宋_GB2312" w:hAnsi="仿宋_GB2312" w:eastAsia="仿宋_GB2312" w:cs="仿宋_GB2312"/>
          <w:sz w:val="28"/>
          <w:szCs w:val="28"/>
          <w:lang w:eastAsia="zh-CN"/>
        </w:rPr>
        <w:t>与企业、社团和民间旅行社合作，设计旅游产品，设立旅游形象店，输送游客量不少于2000人；</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jc w:val="both"/>
        <w:textAlignment w:val="auto"/>
        <w:rPr>
          <w:rFonts w:hint="eastAsia" w:ascii="仿宋_GB2312" w:hAnsi="仿宋_GB2312" w:eastAsia="仿宋_GB2312" w:cs="仿宋_GB2312"/>
          <w:kern w:val="2"/>
          <w:sz w:val="28"/>
          <w:szCs w:val="20"/>
          <w:lang w:val="en-US" w:eastAsia="zh-CN" w:bidi="ar-SA"/>
        </w:rPr>
      </w:pPr>
      <w:r>
        <w:rPr>
          <w:rFonts w:hint="eastAsia" w:ascii="仿宋_GB2312" w:hAnsi="仿宋_GB2312" w:eastAsia="仿宋_GB2312" w:cs="仿宋_GB2312"/>
          <w:i w:val="0"/>
          <w:iCs w:val="0"/>
          <w:color w:val="000000"/>
          <w:kern w:val="0"/>
          <w:sz w:val="28"/>
          <w:szCs w:val="28"/>
          <w:u w:val="none"/>
          <w:lang w:val="en-US" w:eastAsia="zh-CN" w:bidi="ar"/>
        </w:rPr>
        <w:t>（5）带动8000人发展旅游致富，人年均增收2000元，</w:t>
      </w:r>
      <w:r>
        <w:rPr>
          <w:rFonts w:hint="eastAsia" w:ascii="仿宋_GB2312" w:hAnsi="仿宋_GB2312" w:eastAsia="仿宋_GB2312" w:cs="仿宋_GB2312"/>
          <w:kern w:val="0"/>
          <w:sz w:val="28"/>
          <w:szCs w:val="24"/>
          <w:lang w:val="en-US" w:eastAsia="zh-CN" w:bidi="ar"/>
        </w:rPr>
        <w:t>巩固脱贫攻坚成果</w:t>
      </w:r>
      <w:r>
        <w:rPr>
          <w:rFonts w:hint="eastAsia" w:ascii="仿宋_GB2312" w:hAnsi="仿宋_GB2312" w:eastAsia="仿宋_GB2312" w:cs="仿宋_GB2312"/>
          <w:kern w:val="2"/>
          <w:sz w:val="28"/>
          <w:szCs w:val="20"/>
          <w:lang w:val="en-US" w:eastAsia="zh-CN" w:bidi="ar-SA"/>
        </w:rPr>
        <w:t>；</w:t>
      </w:r>
    </w:p>
    <w:p>
      <w:pPr>
        <w:keepNext w:val="0"/>
        <w:keepLines w:val="0"/>
        <w:pageBreakBefore w:val="0"/>
        <w:widowControl/>
        <w:suppressLineNumbers w:val="0"/>
        <w:kinsoku/>
        <w:wordWrap/>
        <w:overflowPunct/>
        <w:topLinePunct w:val="0"/>
        <w:autoSpaceDE/>
        <w:autoSpaceDN/>
        <w:bidi w:val="0"/>
        <w:adjustRightInd w:val="0"/>
        <w:snapToGrid w:val="0"/>
        <w:spacing w:beforeAutospacing="0" w:after="0" w:afterAutospacing="0" w:line="360" w:lineRule="auto"/>
        <w:ind w:left="0" w:leftChars="0" w:right="0" w:firstLine="560" w:firstLineChars="200"/>
        <w:jc w:val="left"/>
        <w:textAlignment w:val="auto"/>
        <w:rPr>
          <w:rFonts w:hint="eastAsia" w:ascii="仿宋_GB2312" w:hAnsi="仿宋_GB2312" w:eastAsia="仿宋_GB2312" w:cs="仿宋_GB2312"/>
          <w:b/>
          <w:bCs/>
          <w:i w:val="0"/>
          <w:iCs w:val="0"/>
          <w:caps w:val="0"/>
          <w:color w:val="000000"/>
          <w:spacing w:val="0"/>
          <w:kern w:val="0"/>
          <w:sz w:val="28"/>
          <w:szCs w:val="28"/>
          <w:highlight w:val="none"/>
          <w:lang w:val="en-US" w:eastAsia="zh-CN" w:bidi="ar"/>
        </w:rPr>
      </w:pPr>
      <w:r>
        <w:rPr>
          <w:rFonts w:hint="eastAsia" w:ascii="仿宋_GB2312" w:hAnsi="仿宋_GB2312" w:eastAsia="仿宋_GB2312" w:cs="仿宋_GB2312"/>
          <w:kern w:val="2"/>
          <w:sz w:val="28"/>
          <w:szCs w:val="20"/>
          <w:lang w:val="en-US" w:eastAsia="zh-CN" w:bidi="ar-SA"/>
        </w:rPr>
        <w:t>（6）受益群体满意度达90%以上。</w:t>
      </w:r>
    </w:p>
    <w:p>
      <w:pPr>
        <w:pStyle w:val="4"/>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ind w:firstLine="560" w:firstLineChars="200"/>
        <w:textAlignment w:val="auto"/>
        <w:rPr>
          <w:rFonts w:hint="eastAsia" w:ascii="黑体" w:hAnsi="黑体" w:eastAsia="黑体" w:cs="黑体"/>
          <w:b w:val="0"/>
          <w:bCs/>
          <w:sz w:val="28"/>
          <w:szCs w:val="28"/>
          <w:lang w:val="en-US" w:eastAsia="zh-CN"/>
        </w:rPr>
      </w:pPr>
      <w:bookmarkStart w:id="14" w:name="_Toc9732"/>
      <w:r>
        <w:rPr>
          <w:rFonts w:hint="eastAsia" w:ascii="黑体" w:hAnsi="黑体" w:eastAsia="黑体" w:cs="黑体"/>
          <w:b w:val="0"/>
          <w:bCs/>
          <w:sz w:val="28"/>
          <w:szCs w:val="28"/>
          <w:lang w:val="en-US" w:eastAsia="zh-CN"/>
        </w:rPr>
        <w:t>二、绩效评价工作情况</w:t>
      </w:r>
      <w:bookmarkEnd w:id="14"/>
    </w:p>
    <w:p>
      <w:pPr>
        <w:keepNext w:val="0"/>
        <w:keepLines w:val="0"/>
        <w:pageBreakBefore w:val="0"/>
        <w:widowControl/>
        <w:suppressLineNumbers w:val="0"/>
        <w:kinsoku/>
        <w:wordWrap/>
        <w:overflowPunct/>
        <w:topLinePunct w:val="0"/>
        <w:autoSpaceDE/>
        <w:autoSpaceDN/>
        <w:bidi w:val="0"/>
        <w:adjustRightInd w:val="0"/>
        <w:snapToGrid w:val="0"/>
        <w:spacing w:beforeAutospacing="0" w:after="0" w:afterAutospacing="0" w:line="360" w:lineRule="auto"/>
        <w:ind w:left="0" w:leftChars="0" w:right="0" w:firstLine="560" w:firstLineChars="200"/>
        <w:jc w:val="left"/>
        <w:textAlignment w:val="auto"/>
        <w:outlineLvl w:val="1"/>
        <w:rPr>
          <w:rFonts w:hint="eastAsia" w:ascii="楷体_GB2312" w:hAnsi="楷体_GB2312" w:eastAsia="楷体_GB2312" w:cs="楷体_GB2312"/>
          <w:i w:val="0"/>
          <w:iCs w:val="0"/>
          <w:caps w:val="0"/>
          <w:color w:val="000000"/>
          <w:spacing w:val="0"/>
          <w:kern w:val="0"/>
          <w:sz w:val="28"/>
          <w:szCs w:val="28"/>
          <w:highlight w:val="none"/>
          <w:lang w:val="en-US" w:eastAsia="zh-CN" w:bidi="ar"/>
        </w:rPr>
      </w:pPr>
      <w:bookmarkStart w:id="15" w:name="_Toc3083"/>
      <w:bookmarkStart w:id="16" w:name="_Toc27462"/>
      <w:bookmarkStart w:id="17" w:name="_Toc16873"/>
      <w:r>
        <w:rPr>
          <w:rFonts w:hint="eastAsia" w:ascii="楷体_GB2312" w:hAnsi="楷体_GB2312" w:eastAsia="楷体_GB2312" w:cs="楷体_GB2312"/>
          <w:i w:val="0"/>
          <w:iCs w:val="0"/>
          <w:caps w:val="0"/>
          <w:color w:val="000000"/>
          <w:spacing w:val="0"/>
          <w:kern w:val="0"/>
          <w:sz w:val="28"/>
          <w:szCs w:val="28"/>
          <w:highlight w:val="none"/>
          <w:lang w:val="en-US" w:eastAsia="zh-CN" w:bidi="ar"/>
        </w:rPr>
        <w:t>（一）评价目的</w:t>
      </w:r>
      <w:bookmarkEnd w:id="15"/>
      <w:bookmarkEnd w:id="16"/>
      <w:bookmarkEnd w:id="17"/>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leftChars="0" w:right="0" w:firstLine="560" w:firstLineChars="200"/>
        <w:jc w:val="left"/>
        <w:textAlignment w:val="auto"/>
        <w:outlineLvl w:val="9"/>
        <w:rPr>
          <w:rFonts w:hint="eastAsia" w:ascii="仿宋_GB2312" w:hAnsi="仿宋_GB2312" w:eastAsia="仿宋_GB2312" w:cs="仿宋_GB2312"/>
          <w:i w:val="0"/>
          <w:iCs w:val="0"/>
          <w:caps w:val="0"/>
          <w:color w:val="000000"/>
          <w:spacing w:val="0"/>
          <w:kern w:val="0"/>
          <w:sz w:val="28"/>
          <w:szCs w:val="28"/>
          <w:highlight w:val="none"/>
          <w:lang w:val="en-US" w:eastAsia="zh-CN" w:bidi="ar"/>
        </w:rPr>
      </w:pPr>
      <w:r>
        <w:rPr>
          <w:rFonts w:hint="eastAsia" w:ascii="仿宋_GB2312" w:hAnsi="仿宋_GB2312" w:eastAsia="仿宋_GB2312" w:cs="仿宋_GB2312"/>
          <w:i w:val="0"/>
          <w:iCs w:val="0"/>
          <w:caps w:val="0"/>
          <w:color w:val="auto"/>
          <w:spacing w:val="0"/>
          <w:kern w:val="0"/>
          <w:sz w:val="28"/>
          <w:szCs w:val="28"/>
          <w:highlight w:val="none"/>
          <w:lang w:val="en-US" w:eastAsia="zh-CN" w:bidi="ar"/>
        </w:rPr>
        <w:t>本次绩效评价依据</w:t>
      </w:r>
      <w:r>
        <w:rPr>
          <w:rFonts w:hint="eastAsia" w:ascii="仿宋_GB2312" w:hAnsi="仿宋_GB2312" w:eastAsia="仿宋_GB2312" w:cs="仿宋_GB2312"/>
          <w:i w:val="0"/>
          <w:iCs w:val="0"/>
          <w:caps w:val="0"/>
          <w:color w:val="000000"/>
          <w:spacing w:val="0"/>
          <w:kern w:val="0"/>
          <w:sz w:val="28"/>
          <w:szCs w:val="27"/>
          <w:highlight w:val="none"/>
          <w:lang w:val="en-US" w:eastAsia="zh-CN" w:bidi="ar"/>
        </w:rPr>
        <w:t>《宁武县财政局关于开展2020年度项目支出绩效评价工作的通知》（宁财字〔2020〕13号）</w:t>
      </w:r>
      <w:r>
        <w:rPr>
          <w:rFonts w:hint="eastAsia" w:ascii="仿宋_GB2312" w:hAnsi="仿宋_GB2312" w:eastAsia="仿宋_GB2312" w:cs="仿宋_GB2312"/>
          <w:i w:val="0"/>
          <w:iCs w:val="0"/>
          <w:caps w:val="0"/>
          <w:color w:val="auto"/>
          <w:spacing w:val="0"/>
          <w:kern w:val="0"/>
          <w:sz w:val="28"/>
          <w:szCs w:val="28"/>
          <w:highlight w:val="none"/>
          <w:lang w:val="en-US" w:eastAsia="zh-CN" w:bidi="ar"/>
        </w:rPr>
        <w:t>，对宁武县文化和旅游局2020年统筹整合财政资金进行绩效评价。通过预算绩效评价，及时发现问题，总结经验，提出改进意见；一是为政府相关决策及下一年度预算安排提供依据；二是为文旅局</w:t>
      </w:r>
      <w:r>
        <w:rPr>
          <w:rFonts w:hint="eastAsia" w:ascii="仿宋_GB2312" w:hAnsi="仿宋_GB2312" w:eastAsia="仿宋_GB2312" w:cs="仿宋_GB2312"/>
          <w:i w:val="0"/>
          <w:iCs w:val="0"/>
          <w:caps w:val="0"/>
          <w:color w:val="auto"/>
          <w:spacing w:val="0"/>
          <w:kern w:val="0"/>
          <w:sz w:val="28"/>
          <w:szCs w:val="28"/>
          <w:highlight w:val="none"/>
          <w:u w:val="none"/>
          <w:lang w:val="en-US" w:eastAsia="zh-CN" w:bidi="ar"/>
        </w:rPr>
        <w:t>掌握项目动态、优化项目信息反馈机制、加强项目监管，进一步修</w:t>
      </w:r>
      <w:r>
        <w:rPr>
          <w:rFonts w:hint="eastAsia" w:ascii="仿宋_GB2312" w:hAnsi="仿宋_GB2312" w:eastAsia="仿宋_GB2312" w:cs="仿宋_GB2312"/>
          <w:i w:val="0"/>
          <w:iCs w:val="0"/>
          <w:caps w:val="0"/>
          <w:color w:val="auto"/>
          <w:spacing w:val="0"/>
          <w:kern w:val="0"/>
          <w:sz w:val="28"/>
          <w:szCs w:val="28"/>
          <w:highlight w:val="none"/>
          <w:lang w:val="en-US" w:eastAsia="zh-CN" w:bidi="ar"/>
        </w:rPr>
        <w:t>改完善统筹整合财政资金使用与管理提供参考。</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leftChars="0" w:right="0" w:firstLine="560" w:firstLineChars="200"/>
        <w:jc w:val="left"/>
        <w:textAlignment w:val="auto"/>
        <w:outlineLvl w:val="1"/>
        <w:rPr>
          <w:rFonts w:hint="eastAsia" w:ascii="楷体_GB2312" w:hAnsi="楷体_GB2312" w:eastAsia="楷体_GB2312" w:cs="楷体_GB2312"/>
          <w:i w:val="0"/>
          <w:iCs w:val="0"/>
          <w:caps w:val="0"/>
          <w:color w:val="000000"/>
          <w:spacing w:val="0"/>
          <w:kern w:val="0"/>
          <w:sz w:val="28"/>
          <w:szCs w:val="28"/>
          <w:highlight w:val="none"/>
          <w:lang w:val="en-US" w:eastAsia="zh-CN" w:bidi="ar"/>
        </w:rPr>
      </w:pPr>
      <w:bookmarkStart w:id="18" w:name="_Toc13128"/>
      <w:bookmarkStart w:id="19" w:name="_Toc14905"/>
      <w:bookmarkStart w:id="20" w:name="_Toc2736"/>
      <w:r>
        <w:rPr>
          <w:rFonts w:hint="eastAsia" w:ascii="楷体_GB2312" w:hAnsi="楷体_GB2312" w:eastAsia="楷体_GB2312" w:cs="楷体_GB2312"/>
          <w:i w:val="0"/>
          <w:iCs w:val="0"/>
          <w:caps w:val="0"/>
          <w:color w:val="000000"/>
          <w:spacing w:val="0"/>
          <w:kern w:val="0"/>
          <w:sz w:val="28"/>
          <w:szCs w:val="28"/>
          <w:highlight w:val="none"/>
          <w:lang w:val="en-US" w:eastAsia="zh-CN" w:bidi="ar"/>
        </w:rPr>
        <w:t>（二）评价对象和范围</w:t>
      </w:r>
      <w:bookmarkEnd w:id="18"/>
      <w:bookmarkEnd w:id="19"/>
      <w:bookmarkEnd w:id="20"/>
    </w:p>
    <w:p>
      <w:pPr>
        <w:keepNext/>
        <w:keepLines/>
        <w:pageBreakBefore w:val="0"/>
        <w:widowControl w:val="0"/>
        <w:kinsoku/>
        <w:wordWrap/>
        <w:overflowPunct/>
        <w:topLinePunct w:val="0"/>
        <w:autoSpaceDE/>
        <w:autoSpaceDN/>
        <w:bidi w:val="0"/>
        <w:adjustRightInd w:val="0"/>
        <w:snapToGrid w:val="0"/>
        <w:spacing w:beforeLines="0" w:beforeAutospacing="0" w:afterLines="0" w:afterAutospacing="0" w:line="360" w:lineRule="auto"/>
        <w:ind w:firstLine="562" w:firstLineChars="200"/>
        <w:jc w:val="both"/>
        <w:textAlignment w:val="auto"/>
        <w:outlineLvl w:val="2"/>
        <w:rPr>
          <w:rFonts w:hint="eastAsia" w:ascii="仿宋_GB2312" w:hAnsi="仿宋_GB2312" w:eastAsia="仿宋_GB2312" w:cs="仿宋_GB2312"/>
          <w:b/>
          <w:kern w:val="2"/>
          <w:sz w:val="28"/>
          <w:szCs w:val="28"/>
          <w:lang w:val="en-US" w:eastAsia="zh-CN" w:bidi="ar-SA"/>
        </w:rPr>
      </w:pPr>
      <w:bookmarkStart w:id="21" w:name="_Toc237"/>
      <w:r>
        <w:rPr>
          <w:rFonts w:hint="eastAsia" w:ascii="仿宋_GB2312" w:hAnsi="仿宋_GB2312" w:eastAsia="仿宋_GB2312" w:cs="仿宋_GB2312"/>
          <w:b/>
          <w:kern w:val="2"/>
          <w:sz w:val="28"/>
          <w:szCs w:val="28"/>
          <w:lang w:val="en-US" w:eastAsia="zh-CN" w:bidi="ar-SA"/>
        </w:rPr>
        <w:t>1.评价对象</w:t>
      </w:r>
      <w:bookmarkEnd w:id="21"/>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leftChars="0" w:right="0" w:firstLine="560" w:firstLineChars="200"/>
        <w:jc w:val="left"/>
        <w:textAlignment w:val="auto"/>
        <w:outlineLvl w:val="9"/>
        <w:rPr>
          <w:rFonts w:hint="eastAsia" w:ascii="楷体_GB2312" w:hAnsi="楷体_GB2312" w:eastAsia="楷体_GB2312" w:cs="楷体_GB2312"/>
          <w:i w:val="0"/>
          <w:iCs w:val="0"/>
          <w:caps w:val="0"/>
          <w:color w:val="000000"/>
          <w:spacing w:val="0"/>
          <w:kern w:val="0"/>
          <w:sz w:val="28"/>
          <w:szCs w:val="28"/>
          <w:highlight w:val="none"/>
          <w:lang w:val="en-US" w:eastAsia="zh-CN" w:bidi="ar"/>
        </w:rPr>
      </w:pPr>
      <w:bookmarkStart w:id="22" w:name="_Toc28131"/>
      <w:r>
        <w:rPr>
          <w:rFonts w:hint="eastAsia" w:ascii="仿宋_GB2312" w:hAnsi="仿宋_GB2312" w:eastAsia="仿宋_GB2312" w:cs="仿宋_GB2312"/>
          <w:i w:val="0"/>
          <w:iCs w:val="0"/>
          <w:caps w:val="0"/>
          <w:color w:val="000000"/>
          <w:spacing w:val="0"/>
          <w:kern w:val="0"/>
          <w:sz w:val="28"/>
          <w:szCs w:val="28"/>
          <w:highlight w:val="none"/>
          <w:lang w:val="en-US" w:eastAsia="zh-CN" w:bidi="ar"/>
        </w:rPr>
        <w:t>本次评价对象为宁武县文化和旅游局2020年统筹整合财政资金700万。</w:t>
      </w:r>
      <w:bookmarkEnd w:id="22"/>
    </w:p>
    <w:p>
      <w:pPr>
        <w:pStyle w:val="6"/>
        <w:bidi w:val="0"/>
        <w:rPr>
          <w:rFonts w:hint="eastAsia" w:ascii="仿宋_GB2312" w:hAnsi="仿宋_GB2312" w:eastAsia="仿宋_GB2312" w:cs="仿宋_GB2312"/>
          <w:sz w:val="28"/>
          <w:szCs w:val="28"/>
          <w:lang w:val="en-US" w:eastAsia="zh-CN"/>
        </w:rPr>
      </w:pPr>
      <w:bookmarkStart w:id="23" w:name="_Toc18367"/>
      <w:r>
        <w:rPr>
          <w:rFonts w:hint="eastAsia" w:ascii="仿宋_GB2312" w:hAnsi="仿宋_GB2312" w:eastAsia="仿宋_GB2312" w:cs="仿宋_GB2312"/>
          <w:sz w:val="28"/>
          <w:szCs w:val="28"/>
          <w:lang w:val="en-US" w:eastAsia="zh-CN"/>
        </w:rPr>
        <w:t>2.评价范围</w:t>
      </w:r>
      <w:bookmarkEnd w:id="23"/>
    </w:p>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60" w:lineRule="auto"/>
        <w:ind w:left="0" w:leftChars="0" w:right="0" w:firstLine="560" w:firstLineChars="200"/>
        <w:jc w:val="both"/>
        <w:textAlignment w:val="auto"/>
        <w:outlineLvl w:val="9"/>
        <w:rPr>
          <w:rFonts w:hint="eastAsia" w:ascii="楷体_GB2312" w:hAnsi="楷体_GB2312" w:eastAsia="楷体_GB2312" w:cs="楷体_GB2312"/>
          <w:i w:val="0"/>
          <w:iCs w:val="0"/>
          <w:caps w:val="0"/>
          <w:color w:val="000000"/>
          <w:spacing w:val="0"/>
          <w:kern w:val="0"/>
          <w:sz w:val="28"/>
          <w:szCs w:val="28"/>
          <w:highlight w:val="none"/>
          <w:lang w:val="en-US" w:eastAsia="zh-CN" w:bidi="ar"/>
        </w:rPr>
      </w:pPr>
      <w:bookmarkStart w:id="24" w:name="_Toc19512"/>
      <w:bookmarkStart w:id="25" w:name="_Toc18570"/>
      <w:r>
        <w:rPr>
          <w:rFonts w:hint="eastAsia" w:ascii="仿宋_GB2312" w:eastAsia="仿宋_GB2312" w:hAnsiTheme="minorHAnsi" w:cstheme="minorBidi"/>
          <w:kern w:val="0"/>
          <w:sz w:val="28"/>
          <w:szCs w:val="24"/>
          <w:lang w:val="en-US" w:eastAsia="zh-CN" w:bidi="ar"/>
        </w:rPr>
        <w:t>绩效评价范围为宁武县文化和旅游局2020年统筹整合财政资金项目资金产生的绩效以及为产生绩效所经历的各环节过程，具体绩效评价范围包括项目决策、过程、产出、效益。</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leftChars="0" w:right="0" w:firstLine="560" w:firstLineChars="200"/>
        <w:jc w:val="left"/>
        <w:textAlignment w:val="auto"/>
        <w:outlineLvl w:val="1"/>
        <w:rPr>
          <w:rFonts w:hint="eastAsia" w:ascii="楷体_GB2312" w:hAnsi="楷体_GB2312" w:eastAsia="楷体_GB2312" w:cs="楷体_GB2312"/>
          <w:i w:val="0"/>
          <w:iCs w:val="0"/>
          <w:caps w:val="0"/>
          <w:color w:val="000000"/>
          <w:spacing w:val="0"/>
          <w:kern w:val="0"/>
          <w:sz w:val="28"/>
          <w:szCs w:val="28"/>
          <w:highlight w:val="none"/>
          <w:lang w:val="en-US" w:eastAsia="zh-CN" w:bidi="ar"/>
        </w:rPr>
      </w:pPr>
      <w:bookmarkStart w:id="26" w:name="_Toc17608"/>
      <w:r>
        <w:rPr>
          <w:rFonts w:hint="eastAsia" w:ascii="楷体_GB2312" w:hAnsi="楷体_GB2312" w:eastAsia="楷体_GB2312" w:cs="楷体_GB2312"/>
          <w:i w:val="0"/>
          <w:iCs w:val="0"/>
          <w:caps w:val="0"/>
          <w:color w:val="000000"/>
          <w:spacing w:val="0"/>
          <w:kern w:val="0"/>
          <w:sz w:val="28"/>
          <w:szCs w:val="28"/>
          <w:highlight w:val="none"/>
          <w:lang w:val="en-US" w:eastAsia="zh-CN" w:bidi="ar"/>
        </w:rPr>
        <w:t>（三）评价基准日</w:t>
      </w:r>
      <w:bookmarkEnd w:id="24"/>
      <w:bookmarkEnd w:id="25"/>
      <w:bookmarkEnd w:id="26"/>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根据统筹整合资金计划下达时间、项目实施期限，项目绩效显现等因素，综合确定本次绩</w:t>
      </w:r>
      <w:r>
        <w:rPr>
          <w:rFonts w:hint="eastAsia" w:ascii="仿宋_GB2312" w:hAnsi="仿宋_GB2312" w:eastAsia="仿宋_GB2312" w:cs="仿宋_GB2312"/>
          <w:sz w:val="28"/>
          <w:szCs w:val="28"/>
          <w:highlight w:val="none"/>
          <w:lang w:val="en-US" w:eastAsia="zh-CN"/>
        </w:rPr>
        <w:t>效评价基准日为2020年12月31日。</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leftChars="0" w:right="0" w:firstLine="560" w:firstLineChars="200"/>
        <w:jc w:val="left"/>
        <w:textAlignment w:val="auto"/>
        <w:outlineLvl w:val="1"/>
        <w:rPr>
          <w:rFonts w:hint="eastAsia" w:ascii="楷体_GB2312" w:hAnsi="楷体_GB2312" w:eastAsia="楷体_GB2312" w:cs="楷体_GB2312"/>
          <w:i w:val="0"/>
          <w:iCs w:val="0"/>
          <w:caps w:val="0"/>
          <w:color w:val="000000"/>
          <w:spacing w:val="0"/>
          <w:kern w:val="0"/>
          <w:sz w:val="28"/>
          <w:szCs w:val="28"/>
          <w:highlight w:val="none"/>
          <w:lang w:val="en-US" w:eastAsia="zh-CN" w:bidi="ar"/>
        </w:rPr>
      </w:pPr>
      <w:bookmarkStart w:id="27" w:name="_Toc28680"/>
      <w:bookmarkStart w:id="28" w:name="_Toc12233"/>
      <w:bookmarkStart w:id="29" w:name="_Toc29157"/>
      <w:r>
        <w:rPr>
          <w:rFonts w:hint="eastAsia" w:ascii="楷体_GB2312" w:hAnsi="楷体_GB2312" w:eastAsia="楷体_GB2312" w:cs="楷体_GB2312"/>
          <w:i w:val="0"/>
          <w:iCs w:val="0"/>
          <w:caps w:val="0"/>
          <w:color w:val="000000"/>
          <w:spacing w:val="0"/>
          <w:kern w:val="0"/>
          <w:sz w:val="28"/>
          <w:szCs w:val="28"/>
          <w:highlight w:val="none"/>
          <w:lang w:val="en-US" w:eastAsia="zh-CN" w:bidi="ar"/>
        </w:rPr>
        <w:t>（四）绩效评价指标体系</w:t>
      </w:r>
      <w:bookmarkEnd w:id="27"/>
      <w:bookmarkEnd w:id="28"/>
      <w:bookmarkEnd w:id="29"/>
    </w:p>
    <w:p>
      <w:pPr>
        <w:keepNext/>
        <w:keepLines/>
        <w:pageBreakBefore w:val="0"/>
        <w:widowControl w:val="0"/>
        <w:kinsoku/>
        <w:wordWrap/>
        <w:overflowPunct/>
        <w:topLinePunct w:val="0"/>
        <w:autoSpaceDE/>
        <w:autoSpaceDN/>
        <w:bidi w:val="0"/>
        <w:adjustRightInd w:val="0"/>
        <w:snapToGrid w:val="0"/>
        <w:spacing w:beforeLines="0" w:beforeAutospacing="0" w:afterLines="0" w:afterAutospacing="0" w:line="360" w:lineRule="auto"/>
        <w:ind w:firstLine="562" w:firstLineChars="200"/>
        <w:jc w:val="both"/>
        <w:textAlignment w:val="auto"/>
        <w:outlineLvl w:val="2"/>
        <w:rPr>
          <w:rFonts w:hint="eastAsia" w:ascii="仿宋_GB2312" w:hAnsi="仿宋_GB2312" w:eastAsia="仿宋_GB2312" w:cs="仿宋_GB2312"/>
          <w:b/>
          <w:kern w:val="2"/>
          <w:sz w:val="28"/>
          <w:szCs w:val="28"/>
          <w:lang w:val="en-US" w:eastAsia="zh-CN" w:bidi="ar-SA"/>
        </w:rPr>
      </w:pPr>
      <w:bookmarkStart w:id="30" w:name="_Toc8685"/>
      <w:r>
        <w:rPr>
          <w:rFonts w:hint="eastAsia" w:ascii="仿宋_GB2312" w:hAnsi="仿宋_GB2312" w:eastAsia="仿宋_GB2312" w:cs="仿宋_GB2312"/>
          <w:b/>
          <w:kern w:val="2"/>
          <w:sz w:val="28"/>
          <w:szCs w:val="28"/>
          <w:lang w:val="en-US" w:eastAsia="zh-CN" w:bidi="ar-SA"/>
        </w:rPr>
        <w:t>1.指标体系设计思路</w:t>
      </w:r>
      <w:bookmarkEnd w:id="30"/>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leftChars="0" w:right="0" w:firstLine="560" w:firstLineChars="200"/>
        <w:jc w:val="left"/>
        <w:textAlignment w:val="auto"/>
        <w:outlineLvl w:val="9"/>
        <w:rPr>
          <w:rFonts w:hint="eastAsia" w:ascii="仿宋_GB2312" w:hAnsi="仿宋_GB2312" w:eastAsia="仿宋_GB2312" w:cs="仿宋_GB2312"/>
          <w:i w:val="0"/>
          <w:iCs w:val="0"/>
          <w:caps w:val="0"/>
          <w:color w:val="auto"/>
          <w:spacing w:val="0"/>
          <w:kern w:val="0"/>
          <w:sz w:val="28"/>
          <w:szCs w:val="28"/>
          <w:highlight w:val="none"/>
          <w:lang w:val="en-US" w:eastAsia="zh-CN" w:bidi="ar"/>
        </w:rPr>
      </w:pPr>
      <w:r>
        <w:rPr>
          <w:rFonts w:hint="eastAsia" w:ascii="仿宋_GB2312" w:hAnsi="仿宋_GB2312" w:eastAsia="仿宋_GB2312" w:cs="仿宋_GB2312"/>
          <w:i w:val="0"/>
          <w:iCs w:val="0"/>
          <w:caps w:val="0"/>
          <w:color w:val="000000"/>
          <w:spacing w:val="0"/>
          <w:kern w:val="0"/>
          <w:sz w:val="28"/>
          <w:szCs w:val="28"/>
          <w:highlight w:val="none"/>
          <w:lang w:val="en-US" w:eastAsia="zh-CN" w:bidi="ar"/>
        </w:rPr>
        <w:t>按照财政部《项目支出绩效评价管理办法》（财预〔2020〕10号）和山西省财政厅《省级项目支出绩效评价管理办法》（晋财绩〔2020〕17号）中的项目支出绩效评价指标体系框架（参考），遵循“突出项目资金、兼顾政策内容”的评价思路，结合东寨旅游特色一条街</w:t>
      </w:r>
      <w:r>
        <w:rPr>
          <w:rFonts w:hint="eastAsia" w:ascii="仿宋_GB2312" w:hAnsi="仿宋_GB2312" w:eastAsia="仿宋_GB2312" w:cs="仿宋_GB2312"/>
          <w:color w:val="auto"/>
          <w:kern w:val="2"/>
          <w:sz w:val="28"/>
          <w:szCs w:val="28"/>
          <w:lang w:val="en-US" w:eastAsia="zh-CN" w:bidi="ar-SA"/>
        </w:rPr>
        <w:t>建设项目</w:t>
      </w:r>
      <w:r>
        <w:rPr>
          <w:rFonts w:hint="eastAsia" w:ascii="仿宋_GB2312" w:hAnsi="仿宋_GB2312" w:eastAsia="仿宋_GB2312" w:cs="仿宋_GB2312"/>
          <w:i w:val="0"/>
          <w:iCs w:val="0"/>
          <w:caps w:val="0"/>
          <w:color w:val="000000"/>
          <w:spacing w:val="0"/>
          <w:kern w:val="0"/>
          <w:sz w:val="28"/>
          <w:szCs w:val="28"/>
          <w:highlight w:val="none"/>
          <w:lang w:val="en-US" w:eastAsia="zh-CN" w:bidi="ar"/>
        </w:rPr>
        <w:t>的实际情况，本着全面反映</w:t>
      </w:r>
      <w:r>
        <w:rPr>
          <w:rFonts w:hint="eastAsia" w:ascii="仿宋_GB2312" w:hAnsi="仿宋_GB2312" w:eastAsia="仿宋_GB2312" w:cs="仿宋_GB2312"/>
          <w:color w:val="auto"/>
          <w:kern w:val="2"/>
          <w:sz w:val="28"/>
          <w:szCs w:val="28"/>
          <w:lang w:val="en-US" w:eastAsia="zh-CN" w:bidi="ar-SA"/>
        </w:rPr>
        <w:t>东寨旅游特色一条街建设项目</w:t>
      </w:r>
      <w:r>
        <w:rPr>
          <w:rFonts w:hint="eastAsia" w:ascii="仿宋_GB2312" w:hAnsi="仿宋_GB2312" w:eastAsia="仿宋_GB2312" w:cs="仿宋_GB2312"/>
          <w:i w:val="0"/>
          <w:iCs w:val="0"/>
          <w:caps w:val="0"/>
          <w:color w:val="000000"/>
          <w:spacing w:val="0"/>
          <w:kern w:val="0"/>
          <w:sz w:val="28"/>
          <w:szCs w:val="28"/>
          <w:highlight w:val="none"/>
          <w:lang w:val="en-US" w:eastAsia="zh-CN" w:bidi="ar"/>
        </w:rPr>
        <w:t>的预算绩效管理情况，本着尽可能细化、量化、可操作的原则，结合计划标准、历史标准等制定指标的目标值，兼顾相关政策内容，设计形成了东寨旅游特色一条街</w:t>
      </w:r>
      <w:r>
        <w:rPr>
          <w:rFonts w:hint="eastAsia" w:ascii="仿宋_GB2312" w:hAnsi="仿宋_GB2312" w:eastAsia="仿宋_GB2312" w:cs="仿宋_GB2312"/>
          <w:color w:val="auto"/>
          <w:kern w:val="2"/>
          <w:sz w:val="28"/>
          <w:szCs w:val="28"/>
          <w:lang w:val="en-US" w:eastAsia="zh-CN" w:bidi="ar-SA"/>
        </w:rPr>
        <w:t>建设项目</w:t>
      </w:r>
      <w:r>
        <w:rPr>
          <w:rFonts w:hint="eastAsia" w:ascii="仿宋_GB2312" w:hAnsi="仿宋_GB2312" w:eastAsia="仿宋_GB2312" w:cs="仿宋_GB2312"/>
          <w:i w:val="0"/>
          <w:iCs w:val="0"/>
          <w:caps w:val="0"/>
          <w:color w:val="000000"/>
          <w:spacing w:val="0"/>
          <w:kern w:val="0"/>
          <w:sz w:val="28"/>
          <w:szCs w:val="28"/>
          <w:highlight w:val="none"/>
          <w:lang w:val="en-US" w:eastAsia="zh-CN" w:bidi="ar"/>
        </w:rPr>
        <w:t>支出绩效评价指标体系，</w:t>
      </w:r>
      <w:r>
        <w:rPr>
          <w:rFonts w:hint="eastAsia" w:ascii="仿宋_GB2312" w:hAnsi="仿宋_GB2312" w:eastAsia="仿宋_GB2312" w:cs="仿宋_GB2312"/>
          <w:i w:val="0"/>
          <w:iCs w:val="0"/>
          <w:caps w:val="0"/>
          <w:color w:val="auto"/>
          <w:spacing w:val="0"/>
          <w:kern w:val="0"/>
          <w:sz w:val="28"/>
          <w:szCs w:val="28"/>
          <w:highlight w:val="none"/>
          <w:lang w:val="en-US" w:eastAsia="zh-CN" w:bidi="ar"/>
        </w:rPr>
        <w:t>从决策、过程、产出和效益四个维度进行评价。</w:t>
      </w:r>
    </w:p>
    <w:p>
      <w:pPr>
        <w:keepNext/>
        <w:keepLines/>
        <w:pageBreakBefore w:val="0"/>
        <w:widowControl w:val="0"/>
        <w:kinsoku/>
        <w:wordWrap/>
        <w:overflowPunct/>
        <w:topLinePunct w:val="0"/>
        <w:autoSpaceDE/>
        <w:autoSpaceDN/>
        <w:bidi w:val="0"/>
        <w:adjustRightInd w:val="0"/>
        <w:snapToGrid w:val="0"/>
        <w:spacing w:beforeLines="0" w:beforeAutospacing="0" w:afterLines="0" w:afterAutospacing="0" w:line="360" w:lineRule="auto"/>
        <w:ind w:firstLine="562" w:firstLineChars="200"/>
        <w:jc w:val="both"/>
        <w:textAlignment w:val="auto"/>
        <w:outlineLvl w:val="2"/>
        <w:rPr>
          <w:rFonts w:hint="eastAsia" w:ascii="仿宋_GB2312" w:hAnsi="仿宋_GB2312" w:eastAsia="仿宋_GB2312" w:cs="仿宋_GB2312"/>
          <w:b/>
          <w:bCs/>
          <w:color w:val="auto"/>
          <w:kern w:val="0"/>
          <w:sz w:val="28"/>
          <w:szCs w:val="28"/>
          <w:lang w:val="zh-CN" w:eastAsia="zh-CN" w:bidi="zh-CN"/>
        </w:rPr>
      </w:pPr>
      <w:bookmarkStart w:id="31" w:name="_Toc13"/>
      <w:r>
        <w:rPr>
          <w:rFonts w:hint="eastAsia" w:ascii="仿宋_GB2312" w:hAnsi="仿宋_GB2312" w:eastAsia="仿宋_GB2312" w:cs="仿宋_GB2312"/>
          <w:b/>
          <w:kern w:val="2"/>
          <w:sz w:val="28"/>
          <w:szCs w:val="28"/>
          <w:lang w:val="en-US" w:eastAsia="zh-CN" w:bidi="ar-SA"/>
        </w:rPr>
        <w:t>2</w:t>
      </w:r>
      <w:r>
        <w:rPr>
          <w:rFonts w:hint="eastAsia" w:ascii="仿宋_GB2312" w:hAnsi="仿宋_GB2312" w:eastAsia="仿宋_GB2312" w:cs="仿宋_GB2312"/>
          <w:b/>
          <w:kern w:val="2"/>
          <w:sz w:val="28"/>
          <w:szCs w:val="28"/>
          <w:lang w:val="zh-CN" w:eastAsia="zh-CN" w:bidi="ar-SA"/>
        </w:rPr>
        <w:t>.权重设计思路</w:t>
      </w:r>
      <w:bookmarkEnd w:id="31"/>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leftChars="0" w:right="0" w:firstLine="560" w:firstLineChars="200"/>
        <w:jc w:val="left"/>
        <w:textAlignment w:val="auto"/>
        <w:outlineLvl w:val="9"/>
        <w:rPr>
          <w:rFonts w:hint="eastAsia" w:ascii="仿宋_GB2312" w:hAnsi="仿宋_GB2312" w:eastAsia="仿宋_GB2312" w:cs="仿宋_GB2312"/>
          <w:i w:val="0"/>
          <w:iCs w:val="0"/>
          <w:caps w:val="0"/>
          <w:color w:val="auto"/>
          <w:spacing w:val="0"/>
          <w:kern w:val="0"/>
          <w:sz w:val="28"/>
          <w:szCs w:val="28"/>
          <w:highlight w:val="none"/>
          <w:lang w:val="en-US" w:eastAsia="zh-CN" w:bidi="ar"/>
        </w:rPr>
      </w:pPr>
      <w:r>
        <w:rPr>
          <w:rFonts w:hint="eastAsia" w:ascii="仿宋_GB2312" w:hAnsi="仿宋_GB2312" w:eastAsia="仿宋_GB2312" w:cs="仿宋_GB2312"/>
          <w:color w:val="auto"/>
          <w:kern w:val="0"/>
          <w:sz w:val="28"/>
          <w:szCs w:val="28"/>
          <w:lang w:val="zh-CN" w:eastAsia="zh-CN" w:bidi="zh-CN"/>
        </w:rPr>
        <w:t>本次</w:t>
      </w:r>
      <w:r>
        <w:rPr>
          <w:rFonts w:hint="eastAsia" w:ascii="仿宋_GB2312" w:hAnsi="仿宋_GB2312" w:eastAsia="仿宋_GB2312" w:cs="仿宋_GB2312"/>
          <w:color w:val="auto"/>
          <w:kern w:val="0"/>
          <w:sz w:val="28"/>
          <w:szCs w:val="28"/>
          <w:lang w:val="en-US" w:eastAsia="zh-CN" w:bidi="zh-CN"/>
        </w:rPr>
        <w:t>绩效评价一级指标</w:t>
      </w:r>
      <w:r>
        <w:rPr>
          <w:rFonts w:hint="eastAsia" w:ascii="仿宋_GB2312" w:hAnsi="仿宋_GB2312" w:eastAsia="仿宋_GB2312" w:cs="仿宋_GB2312"/>
          <w:color w:val="auto"/>
          <w:kern w:val="0"/>
          <w:sz w:val="28"/>
          <w:szCs w:val="28"/>
          <w:lang w:val="zh-CN" w:eastAsia="zh-CN" w:bidi="zh-CN"/>
        </w:rPr>
        <w:t>权重设计</w:t>
      </w:r>
      <w:r>
        <w:rPr>
          <w:rFonts w:hint="eastAsia" w:ascii="仿宋_GB2312" w:hAnsi="仿宋_GB2312" w:eastAsia="仿宋_GB2312" w:cs="仿宋_GB2312"/>
          <w:color w:val="auto"/>
          <w:kern w:val="0"/>
          <w:sz w:val="28"/>
          <w:szCs w:val="28"/>
          <w:lang w:val="en-US" w:eastAsia="zh-CN" w:bidi="zh-CN"/>
        </w:rPr>
        <w:t>按照财政部</w:t>
      </w:r>
      <w:r>
        <w:rPr>
          <w:rFonts w:hint="eastAsia" w:ascii="仿宋_GB2312" w:hAnsi="仿宋_GB2312" w:eastAsia="仿宋_GB2312" w:cs="仿宋_GB2312"/>
          <w:i w:val="0"/>
          <w:iCs w:val="0"/>
          <w:caps w:val="0"/>
          <w:color w:val="000000"/>
          <w:spacing w:val="0"/>
          <w:kern w:val="0"/>
          <w:sz w:val="28"/>
          <w:szCs w:val="28"/>
          <w:highlight w:val="none"/>
          <w:lang w:val="en-US" w:eastAsia="zh-CN" w:bidi="ar"/>
        </w:rPr>
        <w:t>《项目支出绩效评价管理办法》（财预〔2020〕10号）和山西省财政厅《省级项目支出绩效评价管理办法》（晋财绩〔2020〕17号）</w:t>
      </w:r>
      <w:r>
        <w:rPr>
          <w:rFonts w:hint="eastAsia" w:ascii="仿宋_GB2312" w:hAnsi="仿宋_GB2312" w:eastAsia="仿宋_GB2312" w:cs="仿宋_GB2312"/>
          <w:color w:val="auto"/>
          <w:kern w:val="0"/>
          <w:sz w:val="28"/>
          <w:szCs w:val="28"/>
          <w:lang w:val="en-US" w:eastAsia="zh-CN" w:bidi="zh-CN"/>
        </w:rPr>
        <w:t>文件要求执行</w:t>
      </w:r>
      <w:r>
        <w:rPr>
          <w:rFonts w:hint="eastAsia" w:ascii="仿宋_GB2312" w:hAnsi="仿宋_GB2312" w:eastAsia="仿宋_GB2312" w:cs="仿宋_GB2312"/>
          <w:color w:val="auto"/>
          <w:kern w:val="0"/>
          <w:sz w:val="28"/>
          <w:szCs w:val="28"/>
          <w:lang w:val="zh-CN" w:eastAsia="zh-CN" w:bidi="zh-CN"/>
        </w:rPr>
        <w:t>，最终确定</w:t>
      </w:r>
      <w:r>
        <w:rPr>
          <w:rFonts w:hint="eastAsia" w:ascii="仿宋_GB2312" w:hAnsi="仿宋_GB2312" w:eastAsia="仿宋_GB2312" w:cs="仿宋_GB2312"/>
          <w:color w:val="auto"/>
          <w:kern w:val="0"/>
          <w:sz w:val="28"/>
          <w:szCs w:val="28"/>
          <w:lang w:val="en-US" w:eastAsia="zh-CN" w:bidi="zh-CN"/>
        </w:rPr>
        <w:t>决策</w:t>
      </w:r>
      <w:r>
        <w:rPr>
          <w:rFonts w:hint="eastAsia" w:ascii="仿宋_GB2312" w:hAnsi="仿宋_GB2312" w:eastAsia="仿宋_GB2312" w:cs="仿宋_GB2312"/>
          <w:color w:val="auto"/>
          <w:kern w:val="0"/>
          <w:sz w:val="28"/>
          <w:szCs w:val="28"/>
          <w:lang w:val="zh-CN" w:eastAsia="zh-CN" w:bidi="zh-CN"/>
        </w:rPr>
        <w:t>类指标权重占比</w:t>
      </w:r>
      <w:r>
        <w:rPr>
          <w:rFonts w:hint="eastAsia" w:ascii="仿宋_GB2312" w:hAnsi="仿宋_GB2312" w:eastAsia="仿宋_GB2312" w:cs="仿宋_GB2312"/>
          <w:color w:val="auto"/>
          <w:kern w:val="0"/>
          <w:sz w:val="28"/>
          <w:szCs w:val="28"/>
          <w:lang w:val="en-US" w:eastAsia="zh-CN" w:bidi="zh-CN"/>
        </w:rPr>
        <w:t>2</w:t>
      </w:r>
      <w:r>
        <w:rPr>
          <w:rFonts w:hint="eastAsia" w:ascii="仿宋_GB2312" w:hAnsi="仿宋_GB2312" w:eastAsia="仿宋_GB2312" w:cs="仿宋_GB2312"/>
          <w:color w:val="auto"/>
          <w:kern w:val="0"/>
          <w:sz w:val="28"/>
          <w:szCs w:val="28"/>
          <w:lang w:val="zh-CN" w:eastAsia="zh-CN" w:bidi="zh-CN"/>
        </w:rPr>
        <w:t>0%，过程类指标权重占比</w:t>
      </w:r>
      <w:r>
        <w:rPr>
          <w:rFonts w:hint="eastAsia" w:ascii="仿宋_GB2312" w:hAnsi="仿宋_GB2312" w:eastAsia="仿宋_GB2312" w:cs="仿宋_GB2312"/>
          <w:color w:val="auto"/>
          <w:kern w:val="0"/>
          <w:sz w:val="28"/>
          <w:szCs w:val="28"/>
          <w:lang w:val="en-US" w:eastAsia="zh-CN" w:bidi="zh-CN"/>
        </w:rPr>
        <w:t>2</w:t>
      </w:r>
      <w:r>
        <w:rPr>
          <w:rFonts w:hint="eastAsia" w:ascii="仿宋_GB2312" w:hAnsi="仿宋_GB2312" w:eastAsia="仿宋_GB2312" w:cs="仿宋_GB2312"/>
          <w:color w:val="auto"/>
          <w:kern w:val="0"/>
          <w:sz w:val="28"/>
          <w:szCs w:val="28"/>
          <w:lang w:val="zh-CN" w:eastAsia="zh-CN" w:bidi="zh-CN"/>
        </w:rPr>
        <w:t>0%，产出类指标权重占比</w:t>
      </w:r>
      <w:r>
        <w:rPr>
          <w:rFonts w:hint="eastAsia" w:ascii="仿宋_GB2312" w:hAnsi="仿宋_GB2312" w:eastAsia="仿宋_GB2312" w:cs="仿宋_GB2312"/>
          <w:color w:val="auto"/>
          <w:kern w:val="0"/>
          <w:sz w:val="28"/>
          <w:szCs w:val="28"/>
          <w:lang w:val="en-US" w:eastAsia="zh-CN" w:bidi="zh-CN"/>
        </w:rPr>
        <w:t>3</w:t>
      </w:r>
      <w:r>
        <w:rPr>
          <w:rFonts w:hint="eastAsia" w:ascii="仿宋_GB2312" w:hAnsi="仿宋_GB2312" w:eastAsia="仿宋_GB2312" w:cs="仿宋_GB2312"/>
          <w:color w:val="auto"/>
          <w:kern w:val="0"/>
          <w:sz w:val="28"/>
          <w:szCs w:val="28"/>
          <w:lang w:val="zh-CN" w:eastAsia="zh-CN" w:bidi="zh-CN"/>
        </w:rPr>
        <w:t>0%，效益类指标权重占比</w:t>
      </w:r>
      <w:r>
        <w:rPr>
          <w:rFonts w:hint="eastAsia" w:ascii="仿宋_GB2312" w:hAnsi="仿宋_GB2312" w:eastAsia="仿宋_GB2312" w:cs="仿宋_GB2312"/>
          <w:color w:val="auto"/>
          <w:kern w:val="0"/>
          <w:sz w:val="28"/>
          <w:szCs w:val="28"/>
          <w:lang w:val="en-US" w:eastAsia="zh-CN" w:bidi="zh-CN"/>
        </w:rPr>
        <w:t>3</w:t>
      </w:r>
      <w:r>
        <w:rPr>
          <w:rFonts w:hint="eastAsia" w:ascii="仿宋_GB2312" w:hAnsi="仿宋_GB2312" w:eastAsia="仿宋_GB2312" w:cs="仿宋_GB2312"/>
          <w:color w:val="auto"/>
          <w:kern w:val="0"/>
          <w:sz w:val="28"/>
          <w:szCs w:val="28"/>
          <w:lang w:val="zh-CN" w:eastAsia="zh-CN" w:bidi="zh-CN"/>
        </w:rPr>
        <w:t>0%。二、三级指标</w:t>
      </w:r>
      <w:r>
        <w:rPr>
          <w:rFonts w:hint="eastAsia" w:ascii="仿宋_GB2312" w:hAnsi="仿宋_GB2312" w:eastAsia="仿宋_GB2312" w:cs="仿宋_GB2312"/>
          <w:color w:val="auto"/>
          <w:kern w:val="0"/>
          <w:sz w:val="28"/>
          <w:szCs w:val="28"/>
          <w:lang w:val="en-US" w:eastAsia="zh-CN" w:bidi="zh-CN"/>
        </w:rPr>
        <w:t>权重分值</w:t>
      </w:r>
      <w:r>
        <w:rPr>
          <w:rFonts w:hint="eastAsia" w:ascii="仿宋_GB2312" w:hAnsi="仿宋_GB2312" w:eastAsia="仿宋_GB2312" w:cs="仿宋_GB2312"/>
          <w:color w:val="auto"/>
          <w:kern w:val="0"/>
          <w:sz w:val="28"/>
          <w:szCs w:val="28"/>
          <w:lang w:val="zh-CN" w:eastAsia="zh-CN" w:bidi="zh-CN"/>
        </w:rPr>
        <w:t>采用经验分配法，根据以往财政资金绩效评价指标体系权重的</w:t>
      </w:r>
      <w:r>
        <w:rPr>
          <w:rFonts w:hint="eastAsia" w:ascii="仿宋_GB2312" w:hAnsi="仿宋_GB2312" w:eastAsia="仿宋_GB2312" w:cs="仿宋_GB2312"/>
          <w:color w:val="auto"/>
          <w:kern w:val="0"/>
          <w:sz w:val="28"/>
          <w:szCs w:val="28"/>
          <w:highlight w:val="none"/>
          <w:lang w:val="zh-CN" w:eastAsia="zh-CN" w:bidi="zh-CN"/>
        </w:rPr>
        <w:t>工作经验，对评价指标所代表的价值进行判断同时，根据二、三级指标与绩效目标的匹配性、在指标中的重要性、以及对一级指标的影响程度来合理确定评价指标的权重比例结构。</w:t>
      </w:r>
    </w:p>
    <w:p>
      <w:pPr>
        <w:keepNext/>
        <w:keepLines/>
        <w:pageBreakBefore w:val="0"/>
        <w:widowControl w:val="0"/>
        <w:kinsoku/>
        <w:wordWrap/>
        <w:overflowPunct/>
        <w:topLinePunct w:val="0"/>
        <w:autoSpaceDE/>
        <w:autoSpaceDN/>
        <w:bidi w:val="0"/>
        <w:adjustRightInd w:val="0"/>
        <w:snapToGrid w:val="0"/>
        <w:spacing w:beforeLines="0" w:beforeAutospacing="0" w:afterLines="0" w:afterAutospacing="0" w:line="360" w:lineRule="auto"/>
        <w:ind w:firstLine="562" w:firstLineChars="200"/>
        <w:jc w:val="both"/>
        <w:textAlignment w:val="auto"/>
        <w:outlineLvl w:val="2"/>
        <w:rPr>
          <w:rFonts w:hint="eastAsia" w:eastAsia="仿宋_GB2312" w:asciiTheme="minorHAnsi" w:hAnsiTheme="minorHAnsi" w:cstheme="minorBidi"/>
          <w:b/>
          <w:kern w:val="2"/>
          <w:sz w:val="28"/>
          <w:szCs w:val="28"/>
          <w:highlight w:val="none"/>
          <w:lang w:val="en-US" w:eastAsia="zh-CN" w:bidi="ar-SA"/>
        </w:rPr>
      </w:pPr>
      <w:bookmarkStart w:id="32" w:name="_Toc245"/>
      <w:r>
        <w:rPr>
          <w:rFonts w:hint="eastAsia" w:ascii="仿宋_GB2312" w:hAnsi="仿宋_GB2312" w:eastAsia="仿宋_GB2312" w:cs="仿宋_GB2312"/>
          <w:b/>
          <w:kern w:val="2"/>
          <w:sz w:val="28"/>
          <w:szCs w:val="28"/>
          <w:highlight w:val="none"/>
          <w:lang w:val="en-US" w:eastAsia="zh-CN" w:bidi="ar-SA"/>
        </w:rPr>
        <w:t>3.指标体系具体内容</w:t>
      </w:r>
      <w:bookmarkEnd w:id="32"/>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leftChars="0" w:right="0" w:firstLine="560" w:firstLineChars="200"/>
        <w:jc w:val="left"/>
        <w:textAlignment w:val="auto"/>
        <w:outlineLvl w:val="9"/>
        <w:rPr>
          <w:rFonts w:hint="eastAsia" w:ascii="仿宋_GB2312" w:hAnsi="仿宋_GB2312" w:eastAsia="仿宋_GB2312" w:cs="仿宋_GB2312"/>
          <w:i w:val="0"/>
          <w:iCs w:val="0"/>
          <w:caps w:val="0"/>
          <w:color w:val="000000"/>
          <w:spacing w:val="0"/>
          <w:kern w:val="0"/>
          <w:sz w:val="28"/>
          <w:szCs w:val="28"/>
          <w:highlight w:val="none"/>
          <w:lang w:val="en-US" w:eastAsia="zh-CN" w:bidi="ar"/>
        </w:rPr>
      </w:pPr>
      <w:r>
        <w:rPr>
          <w:rFonts w:hint="eastAsia" w:ascii="仿宋_GB2312" w:hAnsi="仿宋_GB2312" w:eastAsia="仿宋_GB2312" w:cs="仿宋_GB2312"/>
          <w:i w:val="0"/>
          <w:iCs w:val="0"/>
          <w:caps w:val="0"/>
          <w:color w:val="auto"/>
          <w:spacing w:val="0"/>
          <w:kern w:val="0"/>
          <w:sz w:val="28"/>
          <w:szCs w:val="28"/>
          <w:highlight w:val="none"/>
          <w:lang w:val="en-US" w:eastAsia="zh-CN" w:bidi="ar"/>
        </w:rPr>
        <w:t>指标体系由</w:t>
      </w:r>
      <w:r>
        <w:rPr>
          <w:rFonts w:hint="eastAsia" w:ascii="仿宋_GB2312" w:hAnsi="仿宋_GB2312" w:eastAsia="仿宋_GB2312" w:cs="仿宋_GB2312"/>
          <w:i w:val="0"/>
          <w:iCs w:val="0"/>
          <w:caps w:val="0"/>
          <w:color w:val="auto"/>
          <w:spacing w:val="0"/>
          <w:kern w:val="0"/>
          <w:sz w:val="28"/>
          <w:szCs w:val="28"/>
          <w:highlight w:val="none"/>
          <w:u w:val="none"/>
          <w:lang w:val="en-US" w:eastAsia="zh-CN" w:bidi="ar"/>
        </w:rPr>
        <w:t>4项一级指标、12项二级指标、23项三</w:t>
      </w:r>
      <w:r>
        <w:rPr>
          <w:rFonts w:hint="eastAsia" w:ascii="仿宋_GB2312" w:hAnsi="仿宋_GB2312" w:eastAsia="仿宋_GB2312" w:cs="仿宋_GB2312"/>
          <w:i w:val="0"/>
          <w:iCs w:val="0"/>
          <w:caps w:val="0"/>
          <w:color w:val="auto"/>
          <w:spacing w:val="0"/>
          <w:kern w:val="0"/>
          <w:sz w:val="28"/>
          <w:szCs w:val="28"/>
          <w:highlight w:val="none"/>
          <w:lang w:val="en-US" w:eastAsia="zh-CN" w:bidi="ar"/>
        </w:rPr>
        <w:t>级指标构成。数据主要来源于政策文件、制度文件、档案资料、基础表、满意度问卷、访谈等。决策类指标占权重分20分，从项目立项、绩效目标、资金投入三个角度考核项目立项依据充分性和立项程序规范性、绩效目标合理性、绩效指标明确性以及预算编制科学性、资金分配合理性的情况。过程类指标占权重分20分，从资金管理和组织实施两个角度考核项目资金到位率、预算执行率、资金使用合规性、管理制度健全性、制度执行有效性。产出类指标占权重分30分，从产出数量、产出质量、产出时效和产出成本四个角度考核项目实际完成率、质量达标率、完成及时率、成本节约率的情况。效益类指标占权重分30分，从项目的形象宣传、市场开拓和满意度进行考核</w:t>
      </w:r>
      <w:r>
        <w:rPr>
          <w:rFonts w:hint="eastAsia" w:ascii="仿宋_GB2312" w:hAnsi="仿宋_GB2312" w:eastAsia="仿宋_GB2312" w:cs="仿宋_GB2312"/>
          <w:i w:val="0"/>
          <w:iCs w:val="0"/>
          <w:caps w:val="0"/>
          <w:color w:val="000000"/>
          <w:spacing w:val="0"/>
          <w:kern w:val="0"/>
          <w:sz w:val="28"/>
          <w:szCs w:val="28"/>
          <w:highlight w:val="none"/>
          <w:lang w:val="en-US" w:eastAsia="zh-CN" w:bidi="ar"/>
        </w:rPr>
        <w:t>。</w:t>
      </w:r>
    </w:p>
    <w:p>
      <w:pPr>
        <w:keepNext w:val="0"/>
        <w:keepLines w:val="0"/>
        <w:pageBreakBefore w:val="0"/>
        <w:widowControl/>
        <w:suppressLineNumbers w:val="0"/>
        <w:kinsoku/>
        <w:wordWrap/>
        <w:overflowPunct/>
        <w:topLinePunct w:val="0"/>
        <w:autoSpaceDE/>
        <w:autoSpaceDN/>
        <w:bidi w:val="0"/>
        <w:adjustRightInd w:val="0"/>
        <w:snapToGrid w:val="0"/>
        <w:spacing w:before="157" w:beforeLines="50" w:beforeAutospacing="0" w:after="0" w:afterAutospacing="0" w:line="360" w:lineRule="auto"/>
        <w:ind w:left="0" w:right="0" w:firstLine="560" w:firstLineChars="200"/>
        <w:jc w:val="left"/>
        <w:textAlignment w:val="auto"/>
        <w:outlineLvl w:val="1"/>
        <w:rPr>
          <w:rFonts w:hint="eastAsia" w:ascii="楷体_GB2312" w:hAnsi="楷体_GB2312" w:eastAsia="楷体_GB2312" w:cs="楷体_GB2312"/>
          <w:i w:val="0"/>
          <w:iCs w:val="0"/>
          <w:caps w:val="0"/>
          <w:color w:val="000000"/>
          <w:spacing w:val="0"/>
          <w:kern w:val="0"/>
          <w:sz w:val="28"/>
          <w:szCs w:val="27"/>
          <w:highlight w:val="none"/>
          <w:lang w:val="en-US" w:eastAsia="zh-CN" w:bidi="ar"/>
        </w:rPr>
      </w:pPr>
      <w:bookmarkStart w:id="33" w:name="_Toc21613"/>
      <w:bookmarkStart w:id="34" w:name="_Toc11238"/>
      <w:bookmarkStart w:id="35" w:name="_Toc10984"/>
      <w:r>
        <w:rPr>
          <w:rFonts w:hint="eastAsia" w:ascii="楷体_GB2312" w:hAnsi="楷体_GB2312" w:eastAsia="楷体_GB2312" w:cs="楷体_GB2312"/>
          <w:i w:val="0"/>
          <w:iCs w:val="0"/>
          <w:caps w:val="0"/>
          <w:color w:val="000000"/>
          <w:spacing w:val="0"/>
          <w:kern w:val="0"/>
          <w:sz w:val="28"/>
          <w:szCs w:val="27"/>
          <w:highlight w:val="none"/>
          <w:lang w:val="en-US" w:eastAsia="zh-CN" w:bidi="ar"/>
        </w:rPr>
        <w:t>（五）绩效评价工作过程</w:t>
      </w:r>
      <w:bookmarkEnd w:id="33"/>
      <w:bookmarkEnd w:id="34"/>
      <w:bookmarkEnd w:id="35"/>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560" w:firstLineChars="200"/>
        <w:jc w:val="left"/>
        <w:textAlignment w:val="auto"/>
        <w:outlineLvl w:val="9"/>
        <w:rPr>
          <w:rFonts w:hint="default" w:ascii="仿宋_GB2312" w:hAnsi="仿宋_GB2312" w:eastAsia="仿宋_GB2312" w:cs="仿宋_GB2312"/>
          <w:i w:val="0"/>
          <w:iCs w:val="0"/>
          <w:caps w:val="0"/>
          <w:color w:val="000000"/>
          <w:spacing w:val="0"/>
          <w:kern w:val="0"/>
          <w:sz w:val="28"/>
          <w:szCs w:val="27"/>
          <w:highlight w:val="none"/>
          <w:lang w:val="en-US" w:eastAsia="zh-CN" w:bidi="ar"/>
        </w:rPr>
      </w:pPr>
      <w:r>
        <w:rPr>
          <w:rFonts w:hint="eastAsia" w:ascii="仿宋_GB2312" w:hAnsi="仿宋_GB2312" w:eastAsia="仿宋_GB2312" w:cs="仿宋_GB2312"/>
          <w:i w:val="0"/>
          <w:iCs w:val="0"/>
          <w:caps w:val="0"/>
          <w:color w:val="000000"/>
          <w:spacing w:val="0"/>
          <w:kern w:val="0"/>
          <w:sz w:val="28"/>
          <w:szCs w:val="27"/>
          <w:highlight w:val="none"/>
          <w:lang w:val="en-US" w:eastAsia="zh-CN" w:bidi="ar"/>
        </w:rPr>
        <w:t>接受</w:t>
      </w:r>
      <w:r>
        <w:rPr>
          <w:rFonts w:hint="eastAsia" w:ascii="仿宋_GB2312" w:hAnsi="仿宋_GB2312" w:eastAsia="仿宋_GB2312" w:cs="仿宋_GB2312"/>
          <w:i w:val="0"/>
          <w:iCs w:val="0"/>
          <w:caps w:val="0"/>
          <w:color w:val="auto"/>
          <w:spacing w:val="0"/>
          <w:kern w:val="0"/>
          <w:sz w:val="28"/>
          <w:szCs w:val="27"/>
          <w:highlight w:val="none"/>
          <w:u w:val="none"/>
          <w:lang w:val="en-US" w:eastAsia="zh-CN" w:bidi="ar"/>
        </w:rPr>
        <w:t>宁武县财政局</w:t>
      </w:r>
      <w:r>
        <w:rPr>
          <w:rFonts w:hint="default" w:ascii="仿宋_GB2312" w:hAnsi="仿宋_GB2312" w:eastAsia="仿宋_GB2312" w:cs="仿宋_GB2312"/>
          <w:i w:val="0"/>
          <w:iCs w:val="0"/>
          <w:caps w:val="0"/>
          <w:color w:val="000000"/>
          <w:spacing w:val="0"/>
          <w:kern w:val="0"/>
          <w:sz w:val="28"/>
          <w:szCs w:val="27"/>
          <w:highlight w:val="none"/>
          <w:u w:val="none"/>
          <w:lang w:val="en-US" w:eastAsia="zh-CN" w:bidi="ar"/>
        </w:rPr>
        <w:t>的</w:t>
      </w:r>
      <w:r>
        <w:rPr>
          <w:rFonts w:hint="default" w:ascii="仿宋_GB2312" w:hAnsi="仿宋_GB2312" w:eastAsia="仿宋_GB2312" w:cs="仿宋_GB2312"/>
          <w:i w:val="0"/>
          <w:iCs w:val="0"/>
          <w:caps w:val="0"/>
          <w:color w:val="000000"/>
          <w:spacing w:val="0"/>
          <w:kern w:val="0"/>
          <w:sz w:val="28"/>
          <w:szCs w:val="27"/>
          <w:highlight w:val="none"/>
          <w:lang w:val="en-US" w:eastAsia="zh-CN" w:bidi="ar"/>
        </w:rPr>
        <w:t>委托</w:t>
      </w:r>
      <w:r>
        <w:rPr>
          <w:rFonts w:hint="eastAsia" w:ascii="仿宋_GB2312" w:hAnsi="仿宋_GB2312" w:eastAsia="仿宋_GB2312" w:cs="仿宋_GB2312"/>
          <w:i w:val="0"/>
          <w:iCs w:val="0"/>
          <w:caps w:val="0"/>
          <w:color w:val="000000"/>
          <w:spacing w:val="0"/>
          <w:kern w:val="0"/>
          <w:sz w:val="28"/>
          <w:szCs w:val="27"/>
          <w:highlight w:val="none"/>
          <w:lang w:val="en-US" w:eastAsia="zh-CN" w:bidi="ar"/>
        </w:rPr>
        <w:t>后</w:t>
      </w:r>
      <w:r>
        <w:rPr>
          <w:rFonts w:hint="default" w:ascii="仿宋_GB2312" w:hAnsi="仿宋_GB2312" w:eastAsia="仿宋_GB2312" w:cs="仿宋_GB2312"/>
          <w:i w:val="0"/>
          <w:iCs w:val="0"/>
          <w:caps w:val="0"/>
          <w:color w:val="000000"/>
          <w:spacing w:val="0"/>
          <w:kern w:val="0"/>
          <w:sz w:val="28"/>
          <w:szCs w:val="27"/>
          <w:highlight w:val="none"/>
          <w:lang w:val="en-US" w:eastAsia="zh-CN" w:bidi="ar"/>
        </w:rPr>
        <w:t>，我公司高度重视，积极筹备，成立项目领导组负责评价过程的协调和督导。</w:t>
      </w:r>
      <w:r>
        <w:rPr>
          <w:rFonts w:hint="eastAsia" w:ascii="仿宋_GB2312" w:hAnsi="仿宋_GB2312" w:eastAsia="仿宋_GB2312" w:cs="仿宋_GB2312"/>
          <w:i w:val="0"/>
          <w:iCs w:val="0"/>
          <w:caps w:val="0"/>
          <w:color w:val="000000"/>
          <w:spacing w:val="0"/>
          <w:kern w:val="0"/>
          <w:sz w:val="28"/>
          <w:szCs w:val="27"/>
          <w:highlight w:val="none"/>
          <w:lang w:val="en-US" w:eastAsia="zh-CN" w:bidi="ar"/>
        </w:rPr>
        <w:t>具体</w:t>
      </w:r>
      <w:r>
        <w:rPr>
          <w:rFonts w:hint="default" w:ascii="仿宋_GB2312" w:hAnsi="仿宋_GB2312" w:eastAsia="仿宋_GB2312" w:cs="仿宋_GB2312"/>
          <w:i w:val="0"/>
          <w:iCs w:val="0"/>
          <w:caps w:val="0"/>
          <w:color w:val="000000"/>
          <w:spacing w:val="0"/>
          <w:kern w:val="0"/>
          <w:sz w:val="28"/>
          <w:szCs w:val="27"/>
          <w:highlight w:val="none"/>
          <w:lang w:val="en-US" w:eastAsia="zh-CN" w:bidi="ar"/>
        </w:rPr>
        <w:t>工作分为</w:t>
      </w:r>
      <w:r>
        <w:rPr>
          <w:rFonts w:hint="eastAsia" w:ascii="仿宋_GB2312" w:hAnsi="仿宋_GB2312" w:eastAsia="仿宋_GB2312" w:cs="仿宋_GB2312"/>
          <w:i w:val="0"/>
          <w:iCs w:val="0"/>
          <w:caps w:val="0"/>
          <w:color w:val="000000"/>
          <w:spacing w:val="0"/>
          <w:kern w:val="0"/>
          <w:sz w:val="28"/>
          <w:szCs w:val="27"/>
          <w:highlight w:val="none"/>
          <w:lang w:val="en-US" w:eastAsia="zh-CN" w:bidi="ar"/>
        </w:rPr>
        <w:t>前期</w:t>
      </w:r>
      <w:r>
        <w:rPr>
          <w:rFonts w:hint="default" w:ascii="仿宋_GB2312" w:hAnsi="仿宋_GB2312" w:eastAsia="仿宋_GB2312" w:cs="仿宋_GB2312"/>
          <w:i w:val="0"/>
          <w:iCs w:val="0"/>
          <w:caps w:val="0"/>
          <w:color w:val="000000"/>
          <w:spacing w:val="0"/>
          <w:kern w:val="0"/>
          <w:sz w:val="28"/>
          <w:szCs w:val="27"/>
          <w:highlight w:val="none"/>
          <w:lang w:val="en-US" w:eastAsia="zh-CN" w:bidi="ar"/>
        </w:rPr>
        <w:t>准备、</w:t>
      </w:r>
      <w:r>
        <w:rPr>
          <w:rFonts w:hint="eastAsia" w:ascii="仿宋_GB2312" w:hAnsi="仿宋_GB2312" w:eastAsia="仿宋_GB2312" w:cs="仿宋_GB2312"/>
          <w:i w:val="0"/>
          <w:iCs w:val="0"/>
          <w:caps w:val="0"/>
          <w:color w:val="000000"/>
          <w:spacing w:val="0"/>
          <w:kern w:val="0"/>
          <w:sz w:val="28"/>
          <w:szCs w:val="27"/>
          <w:highlight w:val="none"/>
          <w:lang w:val="en-US" w:eastAsia="zh-CN" w:bidi="ar"/>
        </w:rPr>
        <w:t>现场</w:t>
      </w:r>
      <w:r>
        <w:rPr>
          <w:rFonts w:hint="default" w:ascii="仿宋_GB2312" w:hAnsi="仿宋_GB2312" w:eastAsia="仿宋_GB2312" w:cs="仿宋_GB2312"/>
          <w:i w:val="0"/>
          <w:iCs w:val="0"/>
          <w:caps w:val="0"/>
          <w:color w:val="000000"/>
          <w:spacing w:val="0"/>
          <w:kern w:val="0"/>
          <w:sz w:val="28"/>
          <w:szCs w:val="27"/>
          <w:highlight w:val="none"/>
          <w:lang w:val="en-US" w:eastAsia="zh-CN" w:bidi="ar"/>
        </w:rPr>
        <w:t>实施、报告撰写三个阶段。</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562" w:firstLineChars="200"/>
        <w:jc w:val="left"/>
        <w:textAlignment w:val="auto"/>
        <w:outlineLvl w:val="2"/>
        <w:rPr>
          <w:rFonts w:hint="default" w:ascii="仿宋_GB2312" w:hAnsi="仿宋_GB2312" w:eastAsia="仿宋_GB2312" w:cs="仿宋_GB2312"/>
          <w:b/>
          <w:bCs/>
          <w:i w:val="0"/>
          <w:iCs w:val="0"/>
          <w:caps w:val="0"/>
          <w:color w:val="000000"/>
          <w:spacing w:val="0"/>
          <w:kern w:val="0"/>
          <w:sz w:val="28"/>
          <w:szCs w:val="27"/>
          <w:highlight w:val="none"/>
          <w:lang w:val="en-US" w:eastAsia="zh-CN" w:bidi="ar"/>
        </w:rPr>
      </w:pPr>
      <w:bookmarkStart w:id="36" w:name="_Toc567"/>
      <w:r>
        <w:rPr>
          <w:rFonts w:hint="default" w:ascii="仿宋_GB2312" w:hAnsi="仿宋_GB2312" w:eastAsia="仿宋_GB2312" w:cs="仿宋_GB2312"/>
          <w:b/>
          <w:bCs/>
          <w:i w:val="0"/>
          <w:iCs w:val="0"/>
          <w:caps w:val="0"/>
          <w:color w:val="000000"/>
          <w:spacing w:val="0"/>
          <w:kern w:val="0"/>
          <w:sz w:val="28"/>
          <w:szCs w:val="27"/>
          <w:highlight w:val="none"/>
          <w:lang w:val="en-US" w:eastAsia="zh-CN" w:bidi="ar"/>
        </w:rPr>
        <w:t>1.评价准备阶段</w:t>
      </w:r>
      <w:bookmarkEnd w:id="36"/>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560" w:firstLineChars="200"/>
        <w:jc w:val="left"/>
        <w:textAlignment w:val="auto"/>
        <w:outlineLvl w:val="9"/>
        <w:rPr>
          <w:rFonts w:hint="default" w:ascii="仿宋_GB2312" w:hAnsi="仿宋_GB2312" w:eastAsia="仿宋_GB2312" w:cs="仿宋_GB2312"/>
          <w:i w:val="0"/>
          <w:iCs w:val="0"/>
          <w:caps w:val="0"/>
          <w:color w:val="000000"/>
          <w:spacing w:val="0"/>
          <w:kern w:val="0"/>
          <w:sz w:val="28"/>
          <w:szCs w:val="27"/>
          <w:highlight w:val="none"/>
          <w:lang w:val="en-US" w:eastAsia="zh-CN" w:bidi="ar"/>
        </w:rPr>
      </w:pPr>
      <w:r>
        <w:rPr>
          <w:rFonts w:hint="default" w:ascii="仿宋_GB2312" w:hAnsi="仿宋_GB2312" w:eastAsia="仿宋_GB2312" w:cs="仿宋_GB2312"/>
          <w:i w:val="0"/>
          <w:iCs w:val="0"/>
          <w:caps w:val="0"/>
          <w:color w:val="000000"/>
          <w:spacing w:val="0"/>
          <w:kern w:val="0"/>
          <w:sz w:val="28"/>
          <w:szCs w:val="27"/>
          <w:highlight w:val="none"/>
          <w:lang w:val="en-US" w:eastAsia="zh-CN" w:bidi="ar"/>
        </w:rPr>
        <w:t>根据山西省《省级项目支出绩效评价管理办法》（晋财绩〔2020〕17号）文件精神和</w:t>
      </w:r>
      <w:r>
        <w:rPr>
          <w:rFonts w:hint="eastAsia" w:ascii="仿宋_GB2312" w:hAnsi="仿宋_GB2312" w:eastAsia="仿宋_GB2312" w:cs="仿宋_GB2312"/>
          <w:i w:val="0"/>
          <w:iCs w:val="0"/>
          <w:caps w:val="0"/>
          <w:color w:val="000000"/>
          <w:spacing w:val="0"/>
          <w:kern w:val="0"/>
          <w:sz w:val="28"/>
          <w:szCs w:val="27"/>
          <w:highlight w:val="none"/>
          <w:lang w:val="en-US" w:eastAsia="zh-CN" w:bidi="ar"/>
        </w:rPr>
        <w:t>《宁武县财政局关于开展2020年度项目支出绩效评价工作的通知》（宁财字〔2020〕13号）</w:t>
      </w:r>
      <w:r>
        <w:rPr>
          <w:rFonts w:hint="default" w:ascii="仿宋_GB2312" w:hAnsi="仿宋_GB2312" w:eastAsia="仿宋_GB2312" w:cs="仿宋_GB2312"/>
          <w:i w:val="0"/>
          <w:iCs w:val="0"/>
          <w:caps w:val="0"/>
          <w:color w:val="000000"/>
          <w:spacing w:val="0"/>
          <w:kern w:val="0"/>
          <w:sz w:val="28"/>
          <w:szCs w:val="27"/>
          <w:highlight w:val="none"/>
          <w:lang w:val="en-US" w:eastAsia="zh-CN" w:bidi="ar"/>
        </w:rPr>
        <w:t>要求，明确评价目的和工作思路，联系</w:t>
      </w:r>
      <w:r>
        <w:rPr>
          <w:rFonts w:hint="eastAsia" w:ascii="仿宋_GB2312" w:hAnsi="仿宋_GB2312" w:eastAsia="仿宋_GB2312" w:cs="仿宋_GB2312"/>
          <w:i w:val="0"/>
          <w:iCs w:val="0"/>
          <w:caps w:val="0"/>
          <w:color w:val="000000"/>
          <w:spacing w:val="0"/>
          <w:kern w:val="0"/>
          <w:sz w:val="28"/>
          <w:szCs w:val="27"/>
          <w:highlight w:val="none"/>
          <w:lang w:val="en-US" w:eastAsia="zh-CN" w:bidi="ar"/>
        </w:rPr>
        <w:t>文旅局、施工方</w:t>
      </w:r>
      <w:r>
        <w:rPr>
          <w:rFonts w:hint="default" w:ascii="仿宋_GB2312" w:hAnsi="仿宋_GB2312" w:eastAsia="仿宋_GB2312" w:cs="仿宋_GB2312"/>
          <w:i w:val="0"/>
          <w:iCs w:val="0"/>
          <w:caps w:val="0"/>
          <w:color w:val="000000"/>
          <w:spacing w:val="0"/>
          <w:kern w:val="0"/>
          <w:sz w:val="28"/>
          <w:szCs w:val="27"/>
          <w:highlight w:val="none"/>
          <w:lang w:val="en-US" w:eastAsia="zh-CN" w:bidi="ar"/>
        </w:rPr>
        <w:t>开展调研，收集相关政策文件和信息资料，编制绩效评价指标体系、评分标准和评价等级。</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562" w:firstLineChars="200"/>
        <w:jc w:val="left"/>
        <w:textAlignment w:val="auto"/>
        <w:outlineLvl w:val="2"/>
        <w:rPr>
          <w:rFonts w:hint="default" w:ascii="仿宋_GB2312" w:hAnsi="仿宋_GB2312" w:eastAsia="仿宋_GB2312" w:cs="仿宋_GB2312"/>
          <w:b/>
          <w:bCs/>
          <w:i w:val="0"/>
          <w:iCs w:val="0"/>
          <w:caps w:val="0"/>
          <w:color w:val="000000"/>
          <w:spacing w:val="0"/>
          <w:kern w:val="0"/>
          <w:sz w:val="28"/>
          <w:szCs w:val="27"/>
          <w:highlight w:val="none"/>
          <w:lang w:val="en-US" w:eastAsia="zh-CN" w:bidi="ar"/>
        </w:rPr>
      </w:pPr>
      <w:bookmarkStart w:id="37" w:name="_Toc2895"/>
      <w:r>
        <w:rPr>
          <w:rFonts w:hint="default" w:ascii="仿宋_GB2312" w:hAnsi="仿宋_GB2312" w:eastAsia="仿宋_GB2312" w:cs="仿宋_GB2312"/>
          <w:b/>
          <w:bCs/>
          <w:i w:val="0"/>
          <w:iCs w:val="0"/>
          <w:caps w:val="0"/>
          <w:color w:val="000000"/>
          <w:spacing w:val="0"/>
          <w:kern w:val="0"/>
          <w:sz w:val="28"/>
          <w:szCs w:val="27"/>
          <w:highlight w:val="none"/>
          <w:lang w:val="en-US" w:eastAsia="zh-CN" w:bidi="ar"/>
        </w:rPr>
        <w:t>2.组织实施阶段</w:t>
      </w:r>
      <w:bookmarkEnd w:id="37"/>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eastAsia" w:ascii="仿宋_GB2312" w:hAnsi="仿宋_GB2312" w:eastAsia="仿宋_GB2312" w:cs="仿宋_GB2312"/>
          <w:sz w:val="28"/>
          <w:szCs w:val="36"/>
          <w:lang w:val="en-US" w:eastAsia="zh-CN"/>
        </w:rPr>
      </w:pPr>
      <w:bookmarkStart w:id="38" w:name="_Toc32670"/>
      <w:r>
        <w:rPr>
          <w:rFonts w:hint="eastAsia" w:ascii="仿宋_GB2312" w:hAnsi="仿宋_GB2312" w:eastAsia="仿宋_GB2312" w:cs="仿宋_GB2312"/>
          <w:sz w:val="28"/>
          <w:szCs w:val="36"/>
          <w:lang w:val="en-US" w:eastAsia="zh-CN"/>
        </w:rPr>
        <w:t>（1）围绕评价指标补充收集相关资料；</w:t>
      </w:r>
      <w:bookmarkEnd w:id="38"/>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eastAsia" w:ascii="仿宋_GB2312" w:hAnsi="仿宋_GB2312" w:eastAsia="仿宋_GB2312" w:cs="仿宋_GB2312"/>
          <w:sz w:val="28"/>
          <w:szCs w:val="36"/>
          <w:lang w:val="en-US" w:eastAsia="zh-CN"/>
        </w:rPr>
      </w:pPr>
      <w:bookmarkStart w:id="39" w:name="_Toc2125"/>
      <w:r>
        <w:rPr>
          <w:rFonts w:hint="eastAsia" w:ascii="仿宋_GB2312" w:hAnsi="仿宋_GB2312" w:eastAsia="仿宋_GB2312" w:cs="仿宋_GB2312"/>
          <w:sz w:val="28"/>
          <w:szCs w:val="36"/>
          <w:lang w:val="en-US" w:eastAsia="zh-CN"/>
        </w:rPr>
        <w:t>（2）现场勘查。根据评价对象的特点和项目单位提供的数据资料，现场勘查项目建设情况及运营情况。</w:t>
      </w:r>
      <w:bookmarkEnd w:id="39"/>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eastAsia" w:ascii="仿宋_GB2312" w:hAnsi="仿宋_GB2312" w:eastAsia="仿宋_GB2312" w:cs="仿宋_GB2312"/>
          <w:sz w:val="28"/>
          <w:szCs w:val="36"/>
          <w:lang w:val="en-US" w:eastAsia="zh-CN"/>
        </w:rPr>
      </w:pPr>
      <w:bookmarkStart w:id="40" w:name="_Toc8827"/>
      <w:r>
        <w:rPr>
          <w:rFonts w:hint="eastAsia" w:ascii="仿宋_GB2312" w:hAnsi="仿宋_GB2312" w:eastAsia="仿宋_GB2312" w:cs="仿宋_GB2312"/>
          <w:sz w:val="28"/>
          <w:szCs w:val="36"/>
          <w:lang w:val="en-US" w:eastAsia="zh-CN"/>
        </w:rPr>
        <w:t>（3）满意度调查。向项目受益群体发放一定数量的满意度调查问卷，汇总受益群体对项目的意见及建议，形成满意度调查问卷分析。</w:t>
      </w:r>
      <w:bookmarkEnd w:id="40"/>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eastAsia" w:ascii="仿宋_GB2312" w:hAnsi="仿宋_GB2312" w:eastAsia="仿宋_GB2312" w:cs="仿宋_GB2312"/>
          <w:sz w:val="28"/>
          <w:szCs w:val="28"/>
          <w:lang w:val="en-US" w:eastAsia="zh-CN"/>
        </w:rPr>
      </w:pPr>
      <w:bookmarkStart w:id="41" w:name="_Toc6703"/>
      <w:r>
        <w:rPr>
          <w:rFonts w:hint="eastAsia" w:ascii="仿宋_GB2312" w:hAnsi="仿宋_GB2312" w:eastAsia="仿宋_GB2312" w:cs="仿宋_GB2312"/>
          <w:sz w:val="28"/>
          <w:szCs w:val="28"/>
          <w:lang w:val="en-US" w:eastAsia="zh-CN"/>
        </w:rPr>
        <w:t>（4）综合评价。根据评价工作方案确定的评价指标、评价权重、评价标准和评价方法，对评价对象的情况进行全面的定量定性分析和综合评价。</w:t>
      </w:r>
      <w:bookmarkEnd w:id="41"/>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562" w:firstLineChars="200"/>
        <w:jc w:val="left"/>
        <w:textAlignment w:val="auto"/>
        <w:outlineLvl w:val="2"/>
        <w:rPr>
          <w:rFonts w:hint="default" w:ascii="仿宋_GB2312" w:hAnsi="仿宋_GB2312" w:eastAsia="仿宋_GB2312" w:cs="仿宋_GB2312"/>
          <w:b/>
          <w:bCs/>
          <w:i w:val="0"/>
          <w:iCs w:val="0"/>
          <w:caps w:val="0"/>
          <w:color w:val="000000"/>
          <w:spacing w:val="0"/>
          <w:kern w:val="0"/>
          <w:sz w:val="28"/>
          <w:szCs w:val="28"/>
          <w:highlight w:val="none"/>
          <w:lang w:val="en-US" w:eastAsia="zh-CN" w:bidi="ar"/>
        </w:rPr>
      </w:pPr>
      <w:bookmarkStart w:id="42" w:name="_Toc15912"/>
      <w:bookmarkStart w:id="43" w:name="_Toc30607"/>
      <w:r>
        <w:rPr>
          <w:rFonts w:hint="default" w:ascii="仿宋_GB2312" w:hAnsi="仿宋_GB2312" w:eastAsia="仿宋_GB2312" w:cs="仿宋_GB2312"/>
          <w:b/>
          <w:bCs/>
          <w:i w:val="0"/>
          <w:iCs w:val="0"/>
          <w:caps w:val="0"/>
          <w:color w:val="000000"/>
          <w:spacing w:val="0"/>
          <w:kern w:val="0"/>
          <w:sz w:val="28"/>
          <w:szCs w:val="28"/>
          <w:highlight w:val="none"/>
          <w:lang w:val="en-US" w:eastAsia="zh-CN" w:bidi="ar"/>
        </w:rPr>
        <w:t>3.报告撰写阶段</w:t>
      </w:r>
      <w:bookmarkEnd w:id="42"/>
      <w:bookmarkEnd w:id="43"/>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560" w:firstLineChars="200"/>
        <w:jc w:val="left"/>
        <w:textAlignment w:val="auto"/>
        <w:outlineLvl w:val="9"/>
        <w:rPr>
          <w:rFonts w:hint="default" w:ascii="仿宋_GB2312" w:hAnsi="仿宋_GB2312" w:eastAsia="仿宋_GB2312" w:cs="仿宋_GB2312"/>
          <w:i w:val="0"/>
          <w:iCs w:val="0"/>
          <w:caps w:val="0"/>
          <w:color w:val="000000"/>
          <w:spacing w:val="0"/>
          <w:kern w:val="0"/>
          <w:sz w:val="28"/>
          <w:szCs w:val="28"/>
          <w:highlight w:val="none"/>
          <w:lang w:val="en-US" w:eastAsia="zh-CN" w:bidi="ar"/>
        </w:rPr>
      </w:pPr>
      <w:bookmarkStart w:id="44" w:name="_Toc3178"/>
      <w:r>
        <w:rPr>
          <w:rFonts w:hint="default" w:ascii="仿宋_GB2312" w:hAnsi="仿宋_GB2312" w:eastAsia="仿宋_GB2312" w:cs="仿宋_GB2312"/>
          <w:i w:val="0"/>
          <w:iCs w:val="0"/>
          <w:caps w:val="0"/>
          <w:color w:val="000000"/>
          <w:spacing w:val="0"/>
          <w:kern w:val="0"/>
          <w:sz w:val="28"/>
          <w:szCs w:val="28"/>
          <w:highlight w:val="none"/>
          <w:lang w:val="en-US" w:eastAsia="zh-CN" w:bidi="ar"/>
        </w:rPr>
        <w:t>绩效评价组根据被评价单位的绩效情况，按要求撰写评价报告，并根据专家意见进一步完善、修改绩效评价报告，形成</w:t>
      </w:r>
      <w:r>
        <w:rPr>
          <w:rFonts w:hint="eastAsia" w:ascii="仿宋_GB2312" w:hAnsi="仿宋_GB2312" w:eastAsia="仿宋_GB2312" w:cs="仿宋_GB2312"/>
          <w:i w:val="0"/>
          <w:iCs w:val="0"/>
          <w:caps w:val="0"/>
          <w:color w:val="000000"/>
          <w:spacing w:val="0"/>
          <w:kern w:val="0"/>
          <w:sz w:val="28"/>
          <w:szCs w:val="28"/>
          <w:highlight w:val="none"/>
          <w:lang w:val="en-US" w:eastAsia="zh-CN" w:bidi="ar"/>
        </w:rPr>
        <w:t>报告提交报送委托评价单位。</w:t>
      </w:r>
      <w:bookmarkEnd w:id="44"/>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560" w:firstLineChars="200"/>
        <w:jc w:val="left"/>
        <w:textAlignment w:val="auto"/>
        <w:outlineLvl w:val="0"/>
        <w:rPr>
          <w:rFonts w:hint="eastAsia" w:ascii="黑体" w:hAnsi="黑体" w:eastAsia="黑体" w:cs="黑体"/>
          <w:i w:val="0"/>
          <w:iCs w:val="0"/>
          <w:caps w:val="0"/>
          <w:color w:val="000000"/>
          <w:spacing w:val="0"/>
          <w:kern w:val="0"/>
          <w:sz w:val="28"/>
          <w:szCs w:val="27"/>
          <w:highlight w:val="none"/>
          <w:lang w:val="en-US" w:eastAsia="zh-CN" w:bidi="ar"/>
        </w:rPr>
      </w:pPr>
      <w:bookmarkStart w:id="45" w:name="_Toc8135"/>
      <w:bookmarkStart w:id="46" w:name="_Toc6035"/>
      <w:r>
        <w:rPr>
          <w:rFonts w:hint="eastAsia" w:ascii="黑体" w:hAnsi="黑体" w:eastAsia="黑体" w:cs="黑体"/>
          <w:i w:val="0"/>
          <w:iCs w:val="0"/>
          <w:caps w:val="0"/>
          <w:color w:val="000000"/>
          <w:spacing w:val="0"/>
          <w:kern w:val="0"/>
          <w:sz w:val="28"/>
          <w:szCs w:val="27"/>
          <w:highlight w:val="none"/>
          <w:lang w:val="en-US" w:eastAsia="zh-CN" w:bidi="ar"/>
        </w:rPr>
        <w:t>三、综合评价情况及评价结论</w:t>
      </w:r>
      <w:bookmarkEnd w:id="45"/>
      <w:bookmarkEnd w:id="46"/>
    </w:p>
    <w:p>
      <w:pPr>
        <w:pStyle w:val="5"/>
        <w:bidi w:val="0"/>
        <w:rPr>
          <w:rFonts w:hint="eastAsia"/>
          <w:lang w:val="en-US" w:eastAsia="zh-CN"/>
        </w:rPr>
      </w:pPr>
      <w:bookmarkStart w:id="47" w:name="_Toc25580"/>
      <w:bookmarkStart w:id="48" w:name="_Toc26329"/>
      <w:r>
        <w:rPr>
          <w:rFonts w:hint="eastAsia"/>
          <w:lang w:val="en-US" w:eastAsia="zh-CN"/>
        </w:rPr>
        <w:t>（一）综合评价情况</w:t>
      </w:r>
      <w:bookmarkEnd w:id="47"/>
      <w:bookmarkEnd w:id="48"/>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eastAsia" w:ascii="仿宋_GB2312" w:hAnsi="仿宋_GB2312" w:eastAsia="仿宋_GB2312" w:cs="仿宋_GB2312"/>
          <w:i w:val="0"/>
          <w:iCs w:val="0"/>
          <w:caps w:val="0"/>
          <w:color w:val="auto"/>
          <w:spacing w:val="0"/>
          <w:kern w:val="0"/>
          <w:sz w:val="28"/>
          <w:szCs w:val="27"/>
          <w:highlight w:val="none"/>
          <w:u w:val="none"/>
          <w:lang w:val="en-US" w:eastAsia="zh-CN" w:bidi="ar"/>
        </w:rPr>
      </w:pPr>
      <w:r>
        <w:rPr>
          <w:rFonts w:hint="eastAsia" w:ascii="仿宋_GB2312" w:hAnsi="仿宋_GB2312" w:eastAsia="仿宋_GB2312" w:cs="仿宋_GB2312"/>
          <w:i w:val="0"/>
          <w:iCs w:val="0"/>
          <w:caps w:val="0"/>
          <w:color w:val="auto"/>
          <w:spacing w:val="0"/>
          <w:kern w:val="0"/>
          <w:sz w:val="28"/>
          <w:szCs w:val="28"/>
          <w:highlight w:val="none"/>
          <w:u w:val="none"/>
          <w:lang w:val="en-US" w:eastAsia="zh-CN" w:bidi="ar"/>
        </w:rPr>
        <w:t>宁武县文化和旅游局2020年统筹整合财政资金绩效评价综合得分58.2分。评价等级为“差”。其中决策类指标得</w:t>
      </w:r>
      <w:r>
        <w:rPr>
          <w:rFonts w:hint="eastAsia" w:ascii="仿宋_GB2312" w:hAnsi="仿宋_GB2312" w:eastAsia="仿宋_GB2312" w:cs="仿宋_GB2312"/>
          <w:b w:val="0"/>
          <w:bCs/>
          <w:color w:val="auto"/>
          <w:sz w:val="28"/>
          <w:szCs w:val="28"/>
          <w:highlight w:val="none"/>
          <w:u w:val="none"/>
          <w:lang w:eastAsia="zh-CN"/>
        </w:rPr>
        <w:fldChar w:fldCharType="begin"/>
      </w:r>
      <w:r>
        <w:rPr>
          <w:rFonts w:hint="eastAsia" w:ascii="仿宋_GB2312" w:hAnsi="仿宋_GB2312" w:eastAsia="仿宋_GB2312" w:cs="仿宋_GB2312"/>
          <w:b w:val="0"/>
          <w:bCs/>
          <w:color w:val="auto"/>
          <w:sz w:val="28"/>
          <w:szCs w:val="28"/>
          <w:highlight w:val="none"/>
          <w:u w:val="none"/>
          <w:lang w:eastAsia="zh-CN"/>
        </w:rPr>
        <w:instrText xml:space="preserve"> =SUM(ABOVE) \* MERGEFORMAT </w:instrText>
      </w:r>
      <w:r>
        <w:rPr>
          <w:rFonts w:hint="eastAsia" w:ascii="仿宋_GB2312" w:hAnsi="仿宋_GB2312" w:eastAsia="仿宋_GB2312" w:cs="仿宋_GB2312"/>
          <w:b w:val="0"/>
          <w:bCs/>
          <w:color w:val="auto"/>
          <w:sz w:val="28"/>
          <w:szCs w:val="28"/>
          <w:highlight w:val="none"/>
          <w:u w:val="none"/>
          <w:lang w:eastAsia="zh-CN"/>
        </w:rPr>
        <w:fldChar w:fldCharType="separate"/>
      </w:r>
      <w:r>
        <w:rPr>
          <w:rFonts w:hint="eastAsia" w:ascii="仿宋_GB2312" w:hAnsi="仿宋_GB2312" w:eastAsia="仿宋_GB2312" w:cs="仿宋_GB2312"/>
          <w:b w:val="0"/>
          <w:bCs/>
          <w:color w:val="auto"/>
          <w:sz w:val="28"/>
          <w:szCs w:val="28"/>
          <w:highlight w:val="none"/>
          <w:u w:val="none"/>
          <w:lang w:eastAsia="zh-CN"/>
        </w:rPr>
        <w:t>16.4</w:t>
      </w:r>
      <w:r>
        <w:rPr>
          <w:rFonts w:hint="eastAsia" w:ascii="仿宋_GB2312" w:hAnsi="仿宋_GB2312" w:eastAsia="仿宋_GB2312" w:cs="仿宋_GB2312"/>
          <w:b w:val="0"/>
          <w:bCs/>
          <w:color w:val="auto"/>
          <w:sz w:val="28"/>
          <w:szCs w:val="28"/>
          <w:highlight w:val="none"/>
          <w:u w:val="none"/>
          <w:lang w:eastAsia="zh-CN"/>
        </w:rPr>
        <w:fldChar w:fldCharType="end"/>
      </w:r>
      <w:r>
        <w:rPr>
          <w:rFonts w:hint="eastAsia" w:ascii="仿宋_GB2312" w:hAnsi="仿宋_GB2312" w:eastAsia="仿宋_GB2312" w:cs="仿宋_GB2312"/>
          <w:i w:val="0"/>
          <w:iCs w:val="0"/>
          <w:caps w:val="0"/>
          <w:color w:val="auto"/>
          <w:spacing w:val="0"/>
          <w:kern w:val="0"/>
          <w:sz w:val="28"/>
          <w:szCs w:val="28"/>
          <w:highlight w:val="none"/>
          <w:u w:val="none"/>
          <w:lang w:val="en-US" w:eastAsia="zh-CN" w:bidi="ar"/>
        </w:rPr>
        <w:t>分，过程类指标得17.8分，产出类指标得24分，效益类指标得0分。具体项目绩效得分见表3-1。</w:t>
      </w:r>
    </w:p>
    <w:p>
      <w:pPr>
        <w:keepNext w:val="0"/>
        <w:keepLines w:val="0"/>
        <w:pageBreakBefore w:val="0"/>
        <w:widowControl w:val="0"/>
        <w:tabs>
          <w:tab w:val="left" w:pos="3743"/>
        </w:tabs>
        <w:kinsoku/>
        <w:wordWrap/>
        <w:overflowPunct/>
        <w:topLinePunct w:val="0"/>
        <w:autoSpaceDE/>
        <w:autoSpaceDN/>
        <w:bidi w:val="0"/>
        <w:adjustRightInd w:val="0"/>
        <w:snapToGrid w:val="0"/>
        <w:spacing w:before="0" w:after="0" w:line="360" w:lineRule="auto"/>
        <w:ind w:right="0" w:firstLine="0" w:firstLineChars="0"/>
        <w:jc w:val="center"/>
        <w:textAlignment w:val="auto"/>
        <w:rPr>
          <w:rFonts w:hint="eastAsia" w:ascii="宋体" w:hAnsi="宋体" w:eastAsia="宋体" w:cs="宋体"/>
          <w:b w:val="0"/>
          <w:bCs/>
          <w:sz w:val="28"/>
          <w:szCs w:val="28"/>
          <w:lang w:eastAsia="zh-CN"/>
        </w:rPr>
      </w:pPr>
      <w:r>
        <w:rPr>
          <w:rFonts w:hint="eastAsia" w:ascii="宋体" w:hAnsi="宋体" w:eastAsia="宋体" w:cs="宋体"/>
          <w:b w:val="0"/>
          <w:bCs/>
          <w:sz w:val="28"/>
          <w:szCs w:val="28"/>
        </w:rPr>
        <w:t xml:space="preserve">表 </w:t>
      </w:r>
      <w:r>
        <w:rPr>
          <w:rFonts w:hint="eastAsia" w:ascii="宋体" w:hAnsi="宋体" w:eastAsia="宋体" w:cs="宋体"/>
          <w:b w:val="0"/>
          <w:bCs/>
          <w:sz w:val="28"/>
          <w:szCs w:val="28"/>
          <w:lang w:val="en-US" w:eastAsia="zh-CN"/>
        </w:rPr>
        <w:t>3</w:t>
      </w:r>
      <w:r>
        <w:rPr>
          <w:rFonts w:hint="eastAsia" w:ascii="宋体" w:hAnsi="宋体" w:eastAsia="宋体" w:cs="宋体"/>
          <w:b w:val="0"/>
          <w:bCs/>
          <w:sz w:val="28"/>
          <w:szCs w:val="28"/>
        </w:rPr>
        <w:t>-</w:t>
      </w:r>
      <w:r>
        <w:rPr>
          <w:rFonts w:hint="eastAsia" w:ascii="宋体" w:hAnsi="宋体" w:eastAsia="宋体" w:cs="宋体"/>
          <w:b w:val="0"/>
          <w:bCs/>
          <w:sz w:val="28"/>
          <w:szCs w:val="28"/>
          <w:lang w:val="en-US" w:eastAsia="zh-CN"/>
        </w:rPr>
        <w:t xml:space="preserve">1 </w:t>
      </w:r>
      <w:r>
        <w:rPr>
          <w:rFonts w:hint="eastAsia" w:ascii="宋体" w:hAnsi="宋体" w:eastAsia="宋体" w:cs="宋体"/>
          <w:b w:val="0"/>
          <w:bCs/>
          <w:sz w:val="28"/>
          <w:szCs w:val="28"/>
        </w:rPr>
        <w:t>一级指标得分情况</w:t>
      </w:r>
    </w:p>
    <w:tbl>
      <w:tblPr>
        <w:tblStyle w:val="15"/>
        <w:tblW w:w="8957" w:type="dxa"/>
        <w:jc w:val="center"/>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2324"/>
        <w:gridCol w:w="2211"/>
        <w:gridCol w:w="2211"/>
        <w:gridCol w:w="2211"/>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10" w:hRule="atLeast"/>
          <w:tblHeader/>
          <w:jc w:val="center"/>
        </w:trPr>
        <w:tc>
          <w:tcPr>
            <w:tcW w:w="2324" w:type="dxa"/>
            <w:tcBorders>
              <w:top w:val="double" w:color="000000" w:sz="4" w:space="0"/>
              <w:left w:val="nil"/>
              <w:bottom w:val="dotted" w:color="000000" w:sz="4" w:space="0"/>
              <w:right w:val="dotted" w:color="000000" w:sz="4" w:space="0"/>
            </w:tcBorders>
            <w:shd w:val="clear" w:color="auto" w:fill="BEBEBE"/>
            <w:vAlign w:val="center"/>
          </w:tcPr>
          <w:p>
            <w:pPr>
              <w:pStyle w:val="21"/>
              <w:keepNext w:val="0"/>
              <w:keepLines w:val="0"/>
              <w:pageBreakBefore w:val="0"/>
              <w:widowControl w:val="0"/>
              <w:kinsoku/>
              <w:wordWrap/>
              <w:overflowPunct/>
              <w:topLinePunct w:val="0"/>
              <w:autoSpaceDE/>
              <w:autoSpaceDN/>
              <w:bidi w:val="0"/>
              <w:adjustRightInd/>
              <w:snapToGrid/>
              <w:spacing w:line="240" w:lineRule="atLeast"/>
              <w:ind w:left="0" w:right="0" w:firstLine="0" w:firstLineChars="0"/>
              <w:jc w:val="center"/>
              <w:textAlignment w:val="auto"/>
              <w:rPr>
                <w:rFonts w:hint="eastAsia" w:ascii="宋体" w:hAnsi="宋体" w:eastAsia="宋体" w:cs="宋体"/>
                <w:b/>
                <w:sz w:val="24"/>
                <w:szCs w:val="24"/>
              </w:rPr>
            </w:pPr>
            <w:r>
              <w:rPr>
                <w:rFonts w:hint="eastAsia" w:ascii="宋体" w:hAnsi="宋体" w:eastAsia="宋体" w:cs="宋体"/>
                <w:b/>
                <w:sz w:val="24"/>
                <w:szCs w:val="24"/>
              </w:rPr>
              <w:t>一级指标</w:t>
            </w:r>
          </w:p>
        </w:tc>
        <w:tc>
          <w:tcPr>
            <w:tcW w:w="2211" w:type="dxa"/>
            <w:tcBorders>
              <w:top w:val="double" w:color="000000" w:sz="4" w:space="0"/>
              <w:left w:val="dotted" w:color="000000" w:sz="4" w:space="0"/>
              <w:bottom w:val="dotted" w:color="000000" w:sz="4" w:space="0"/>
              <w:right w:val="dotted" w:color="000000" w:sz="4" w:space="0"/>
            </w:tcBorders>
            <w:shd w:val="clear" w:color="auto" w:fill="BEBEBE"/>
            <w:vAlign w:val="center"/>
          </w:tcPr>
          <w:p>
            <w:pPr>
              <w:pStyle w:val="21"/>
              <w:keepNext w:val="0"/>
              <w:keepLines w:val="0"/>
              <w:pageBreakBefore w:val="0"/>
              <w:widowControl w:val="0"/>
              <w:kinsoku/>
              <w:wordWrap/>
              <w:overflowPunct/>
              <w:topLinePunct w:val="0"/>
              <w:autoSpaceDE/>
              <w:autoSpaceDN/>
              <w:bidi w:val="0"/>
              <w:adjustRightInd/>
              <w:snapToGrid/>
              <w:spacing w:line="240" w:lineRule="atLeast"/>
              <w:ind w:left="0" w:right="0" w:firstLine="0" w:firstLineChars="0"/>
              <w:jc w:val="center"/>
              <w:textAlignment w:val="auto"/>
              <w:rPr>
                <w:rFonts w:hint="eastAsia" w:ascii="宋体" w:hAnsi="宋体" w:eastAsia="宋体" w:cs="宋体"/>
                <w:b/>
                <w:sz w:val="24"/>
                <w:szCs w:val="24"/>
              </w:rPr>
            </w:pPr>
            <w:r>
              <w:rPr>
                <w:rFonts w:hint="eastAsia" w:ascii="宋体" w:hAnsi="宋体" w:eastAsia="宋体" w:cs="宋体"/>
                <w:b/>
                <w:sz w:val="24"/>
                <w:szCs w:val="24"/>
              </w:rPr>
              <w:t>权重</w:t>
            </w:r>
          </w:p>
        </w:tc>
        <w:tc>
          <w:tcPr>
            <w:tcW w:w="2211" w:type="dxa"/>
            <w:tcBorders>
              <w:top w:val="double" w:color="000000" w:sz="4" w:space="0"/>
              <w:left w:val="dotted" w:color="000000" w:sz="4" w:space="0"/>
              <w:bottom w:val="dotted" w:color="000000" w:sz="4" w:space="0"/>
              <w:right w:val="dotted" w:color="000000" w:sz="4" w:space="0"/>
            </w:tcBorders>
            <w:shd w:val="clear" w:color="auto" w:fill="BEBEBE"/>
            <w:vAlign w:val="center"/>
          </w:tcPr>
          <w:p>
            <w:pPr>
              <w:pStyle w:val="21"/>
              <w:keepNext w:val="0"/>
              <w:keepLines w:val="0"/>
              <w:pageBreakBefore w:val="0"/>
              <w:widowControl w:val="0"/>
              <w:kinsoku/>
              <w:wordWrap/>
              <w:overflowPunct/>
              <w:topLinePunct w:val="0"/>
              <w:autoSpaceDE/>
              <w:autoSpaceDN/>
              <w:bidi w:val="0"/>
              <w:adjustRightInd/>
              <w:snapToGrid/>
              <w:spacing w:line="240" w:lineRule="atLeast"/>
              <w:ind w:left="0" w:right="0" w:firstLine="0" w:firstLineChars="0"/>
              <w:jc w:val="center"/>
              <w:textAlignment w:val="auto"/>
              <w:rPr>
                <w:rFonts w:hint="eastAsia" w:ascii="宋体" w:hAnsi="宋体" w:eastAsia="宋体" w:cs="宋体"/>
                <w:b/>
                <w:sz w:val="24"/>
                <w:szCs w:val="24"/>
              </w:rPr>
            </w:pPr>
            <w:r>
              <w:rPr>
                <w:rFonts w:hint="eastAsia" w:ascii="宋体" w:hAnsi="宋体" w:eastAsia="宋体" w:cs="宋体"/>
                <w:b/>
                <w:sz w:val="24"/>
                <w:szCs w:val="24"/>
              </w:rPr>
              <w:t>得分</w:t>
            </w:r>
          </w:p>
        </w:tc>
        <w:tc>
          <w:tcPr>
            <w:tcW w:w="2211" w:type="dxa"/>
            <w:tcBorders>
              <w:top w:val="double" w:color="000000" w:sz="4" w:space="0"/>
              <w:left w:val="dotted" w:color="000000" w:sz="4" w:space="0"/>
              <w:bottom w:val="dotted" w:color="000000" w:sz="4" w:space="0"/>
              <w:right w:val="nil"/>
            </w:tcBorders>
            <w:shd w:val="clear" w:color="auto" w:fill="BEBEBE"/>
            <w:vAlign w:val="center"/>
          </w:tcPr>
          <w:p>
            <w:pPr>
              <w:pStyle w:val="21"/>
              <w:keepNext w:val="0"/>
              <w:keepLines w:val="0"/>
              <w:pageBreakBefore w:val="0"/>
              <w:widowControl w:val="0"/>
              <w:kinsoku/>
              <w:wordWrap/>
              <w:overflowPunct/>
              <w:topLinePunct w:val="0"/>
              <w:autoSpaceDE/>
              <w:autoSpaceDN/>
              <w:bidi w:val="0"/>
              <w:adjustRightInd/>
              <w:snapToGrid/>
              <w:spacing w:line="240" w:lineRule="atLeast"/>
              <w:ind w:left="0" w:right="0" w:firstLine="0" w:firstLineChars="0"/>
              <w:jc w:val="center"/>
              <w:textAlignment w:val="auto"/>
              <w:rPr>
                <w:rFonts w:hint="eastAsia" w:ascii="宋体" w:hAnsi="宋体" w:eastAsia="宋体" w:cs="宋体"/>
                <w:b/>
                <w:sz w:val="24"/>
                <w:szCs w:val="24"/>
              </w:rPr>
            </w:pPr>
            <w:r>
              <w:rPr>
                <w:rFonts w:hint="eastAsia" w:ascii="宋体" w:hAnsi="宋体" w:eastAsia="宋体" w:cs="宋体"/>
                <w:b/>
                <w:sz w:val="24"/>
                <w:szCs w:val="24"/>
              </w:rPr>
              <w:t>得分率</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10" w:hRule="atLeast"/>
          <w:jc w:val="center"/>
        </w:trPr>
        <w:tc>
          <w:tcPr>
            <w:tcW w:w="2324" w:type="dxa"/>
            <w:tcBorders>
              <w:top w:val="dotted" w:color="000000" w:sz="4" w:space="0"/>
              <w:left w:val="nil"/>
              <w:bottom w:val="dotted" w:color="000000" w:sz="4" w:space="0"/>
              <w:right w:val="dotted" w:color="000000" w:sz="4" w:space="0"/>
            </w:tcBorders>
            <w:vAlign w:val="center"/>
          </w:tcPr>
          <w:p>
            <w:pPr>
              <w:pStyle w:val="21"/>
              <w:keepNext w:val="0"/>
              <w:keepLines w:val="0"/>
              <w:pageBreakBefore w:val="0"/>
              <w:widowControl w:val="0"/>
              <w:kinsoku/>
              <w:wordWrap/>
              <w:overflowPunct/>
              <w:topLinePunct w:val="0"/>
              <w:autoSpaceDE/>
              <w:autoSpaceDN/>
              <w:bidi w:val="0"/>
              <w:adjustRightInd/>
              <w:snapToGrid/>
              <w:spacing w:line="240" w:lineRule="atLeast"/>
              <w:ind w:left="0" w:right="0" w:firstLine="0" w:firstLineChars="0"/>
              <w:jc w:val="center"/>
              <w:textAlignment w:val="auto"/>
              <w:rPr>
                <w:rFonts w:hint="eastAsia" w:ascii="宋体" w:hAnsi="宋体" w:eastAsia="宋体" w:cs="宋体"/>
                <w:sz w:val="24"/>
                <w:szCs w:val="24"/>
                <w:lang w:eastAsia="zh-CN"/>
              </w:rPr>
            </w:pPr>
            <w:r>
              <w:rPr>
                <w:rFonts w:hint="eastAsia" w:ascii="宋体" w:hAnsi="宋体" w:eastAsia="宋体" w:cs="宋体"/>
                <w:sz w:val="24"/>
                <w:szCs w:val="24"/>
              </w:rPr>
              <w:t>A</w:t>
            </w:r>
            <w:r>
              <w:rPr>
                <w:rFonts w:hint="eastAsia" w:ascii="宋体" w:hAnsi="宋体" w:eastAsia="宋体" w:cs="宋体"/>
                <w:sz w:val="24"/>
                <w:szCs w:val="24"/>
                <w:lang w:val="en-US" w:eastAsia="zh-CN"/>
              </w:rPr>
              <w:t>决策</w:t>
            </w:r>
          </w:p>
        </w:tc>
        <w:tc>
          <w:tcPr>
            <w:tcW w:w="2211" w:type="dxa"/>
            <w:tcBorders>
              <w:top w:val="dotted" w:color="000000" w:sz="4" w:space="0"/>
              <w:left w:val="dotted" w:color="000000" w:sz="4" w:space="0"/>
              <w:bottom w:val="dotted" w:color="000000" w:sz="4" w:space="0"/>
              <w:right w:val="dotted" w:color="000000" w:sz="4" w:space="0"/>
            </w:tcBorders>
            <w:vAlign w:val="center"/>
          </w:tcPr>
          <w:p>
            <w:pPr>
              <w:pStyle w:val="21"/>
              <w:keepNext w:val="0"/>
              <w:keepLines w:val="0"/>
              <w:pageBreakBefore w:val="0"/>
              <w:widowControl w:val="0"/>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hint="eastAsia" w:ascii="宋体" w:hAnsi="宋体" w:eastAsia="宋体" w:cs="宋体"/>
                <w:sz w:val="24"/>
                <w:szCs w:val="24"/>
              </w:rPr>
            </w:pPr>
            <w:r>
              <w:rPr>
                <w:rFonts w:hint="default" w:ascii="宋体" w:hAnsi="宋体" w:eastAsia="宋体" w:cs="宋体"/>
                <w:b w:val="0"/>
                <w:bCs/>
                <w:sz w:val="24"/>
                <w:szCs w:val="24"/>
              </w:rPr>
              <w:fldChar w:fldCharType="begin"/>
            </w:r>
            <w:r>
              <w:rPr>
                <w:rFonts w:hint="default" w:ascii="宋体" w:hAnsi="宋体" w:eastAsia="宋体" w:cs="宋体"/>
                <w:b w:val="0"/>
                <w:bCs/>
                <w:sz w:val="24"/>
                <w:szCs w:val="24"/>
              </w:rPr>
              <w:instrText xml:space="preserve"> =SUM(ABOVE) \* MERGEFORMAT </w:instrText>
            </w:r>
            <w:r>
              <w:rPr>
                <w:rFonts w:hint="default" w:ascii="宋体" w:hAnsi="宋体" w:eastAsia="宋体" w:cs="宋体"/>
                <w:b w:val="0"/>
                <w:bCs/>
                <w:sz w:val="24"/>
                <w:szCs w:val="24"/>
              </w:rPr>
              <w:fldChar w:fldCharType="separate"/>
            </w:r>
            <w:r>
              <w:rPr>
                <w:rFonts w:hint="default" w:ascii="宋体" w:hAnsi="宋体" w:eastAsia="宋体" w:cs="宋体"/>
                <w:b w:val="0"/>
                <w:bCs/>
                <w:sz w:val="24"/>
                <w:szCs w:val="24"/>
              </w:rPr>
              <w:t>20</w:t>
            </w:r>
            <w:r>
              <w:rPr>
                <w:rFonts w:hint="default" w:ascii="宋体" w:hAnsi="宋体" w:eastAsia="宋体" w:cs="宋体"/>
                <w:b w:val="0"/>
                <w:bCs/>
                <w:sz w:val="24"/>
                <w:szCs w:val="24"/>
              </w:rPr>
              <w:fldChar w:fldCharType="end"/>
            </w:r>
          </w:p>
        </w:tc>
        <w:tc>
          <w:tcPr>
            <w:tcW w:w="2211" w:type="dxa"/>
            <w:tcBorders>
              <w:top w:val="dotted" w:color="000000" w:sz="4" w:space="0"/>
              <w:left w:val="dotted" w:color="000000" w:sz="4" w:space="0"/>
              <w:bottom w:val="dotted" w:color="000000" w:sz="4" w:space="0"/>
              <w:right w:val="dotted" w:color="000000" w:sz="4" w:space="0"/>
            </w:tcBorders>
            <w:vAlign w:val="center"/>
          </w:tcPr>
          <w:p>
            <w:pPr>
              <w:pStyle w:val="21"/>
              <w:keepNext w:val="0"/>
              <w:keepLines w:val="0"/>
              <w:pageBreakBefore w:val="0"/>
              <w:widowControl w:val="0"/>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hint="default" w:ascii="宋体" w:hAnsi="宋体" w:eastAsia="宋体" w:cs="宋体"/>
                <w:sz w:val="24"/>
                <w:szCs w:val="24"/>
                <w:lang w:val="en-US" w:eastAsia="zh-CN"/>
              </w:rPr>
            </w:pPr>
            <w:r>
              <w:rPr>
                <w:rFonts w:hint="default" w:ascii="宋体" w:hAnsi="宋体" w:eastAsia="宋体" w:cs="宋体"/>
                <w:b w:val="0"/>
                <w:bCs/>
                <w:sz w:val="24"/>
                <w:szCs w:val="24"/>
                <w:lang w:eastAsia="zh-CN"/>
              </w:rPr>
              <w:fldChar w:fldCharType="begin"/>
            </w:r>
            <w:r>
              <w:rPr>
                <w:rFonts w:hint="default" w:ascii="宋体" w:hAnsi="宋体" w:eastAsia="宋体" w:cs="宋体"/>
                <w:b w:val="0"/>
                <w:bCs/>
                <w:sz w:val="24"/>
                <w:szCs w:val="24"/>
                <w:lang w:eastAsia="zh-CN"/>
              </w:rPr>
              <w:instrText xml:space="preserve"> =SUM(ABOVE) \* MERGEFORMAT </w:instrText>
            </w:r>
            <w:r>
              <w:rPr>
                <w:rFonts w:hint="default" w:ascii="宋体" w:hAnsi="宋体" w:eastAsia="宋体" w:cs="宋体"/>
                <w:b w:val="0"/>
                <w:bCs/>
                <w:sz w:val="24"/>
                <w:szCs w:val="24"/>
                <w:lang w:eastAsia="zh-CN"/>
              </w:rPr>
              <w:fldChar w:fldCharType="separate"/>
            </w:r>
            <w:r>
              <w:rPr>
                <w:rFonts w:hint="default" w:ascii="宋体" w:hAnsi="宋体" w:eastAsia="宋体" w:cs="宋体"/>
                <w:b w:val="0"/>
                <w:bCs/>
                <w:sz w:val="24"/>
                <w:szCs w:val="24"/>
                <w:lang w:eastAsia="zh-CN"/>
              </w:rPr>
              <w:t>16.4</w:t>
            </w:r>
            <w:r>
              <w:rPr>
                <w:rFonts w:hint="default" w:ascii="宋体" w:hAnsi="宋体" w:eastAsia="宋体" w:cs="宋体"/>
                <w:b w:val="0"/>
                <w:bCs/>
                <w:sz w:val="24"/>
                <w:szCs w:val="24"/>
                <w:lang w:eastAsia="zh-CN"/>
              </w:rPr>
              <w:fldChar w:fldCharType="end"/>
            </w:r>
          </w:p>
        </w:tc>
        <w:tc>
          <w:tcPr>
            <w:tcW w:w="2211" w:type="dxa"/>
            <w:tcBorders>
              <w:top w:val="dotted" w:color="000000" w:sz="4" w:space="0"/>
              <w:left w:val="dotted" w:color="000000" w:sz="4" w:space="0"/>
              <w:bottom w:val="dotted" w:color="000000" w:sz="4" w:space="0"/>
              <w:right w:val="nil"/>
            </w:tcBorders>
            <w:vAlign w:val="center"/>
          </w:tcPr>
          <w:p>
            <w:pPr>
              <w:keepNext w:val="0"/>
              <w:keepLines w:val="0"/>
              <w:widowControl/>
              <w:suppressLineNumbers w:val="0"/>
              <w:jc w:val="center"/>
              <w:textAlignment w:val="center"/>
              <w:rPr>
                <w:rFonts w:hint="eastAsia" w:ascii="宋体" w:hAnsi="宋体" w:eastAsia="宋体" w:cs="宋体"/>
                <w:sz w:val="24"/>
                <w:szCs w:val="24"/>
              </w:rPr>
            </w:pPr>
            <w:r>
              <w:rPr>
                <w:rFonts w:hint="eastAsia" w:ascii="宋体" w:hAnsi="宋体" w:cs="宋体"/>
                <w:i w:val="0"/>
                <w:iCs w:val="0"/>
                <w:color w:val="000000"/>
                <w:kern w:val="0"/>
                <w:sz w:val="24"/>
                <w:szCs w:val="24"/>
                <w:u w:val="none"/>
                <w:lang w:val="en-US" w:eastAsia="zh-CN" w:bidi="ar"/>
              </w:rPr>
              <w:t>82</w:t>
            </w:r>
            <w:r>
              <w:rPr>
                <w:rFonts w:hint="eastAsia" w:ascii="宋体" w:hAnsi="宋体" w:eastAsia="宋体" w:cs="宋体"/>
                <w:i w:val="0"/>
                <w:iCs w:val="0"/>
                <w:color w:val="000000"/>
                <w:kern w:val="0"/>
                <w:sz w:val="24"/>
                <w:szCs w:val="24"/>
                <w:u w:val="none"/>
                <w:lang w:val="en-US" w:eastAsia="zh-CN" w:bidi="ar"/>
              </w:rPr>
              <w:t>%</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10" w:hRule="atLeast"/>
          <w:jc w:val="center"/>
        </w:trPr>
        <w:tc>
          <w:tcPr>
            <w:tcW w:w="2324" w:type="dxa"/>
            <w:tcBorders>
              <w:top w:val="dotted" w:color="000000" w:sz="4" w:space="0"/>
              <w:left w:val="nil"/>
              <w:bottom w:val="dotted" w:color="000000" w:sz="4" w:space="0"/>
              <w:right w:val="dotted" w:color="000000" w:sz="4" w:space="0"/>
            </w:tcBorders>
            <w:vAlign w:val="center"/>
          </w:tcPr>
          <w:p>
            <w:pPr>
              <w:pStyle w:val="21"/>
              <w:keepNext w:val="0"/>
              <w:keepLines w:val="0"/>
              <w:pageBreakBefore w:val="0"/>
              <w:widowControl w:val="0"/>
              <w:kinsoku/>
              <w:wordWrap/>
              <w:overflowPunct/>
              <w:topLinePunct w:val="0"/>
              <w:autoSpaceDE/>
              <w:autoSpaceDN/>
              <w:bidi w:val="0"/>
              <w:adjustRightInd/>
              <w:snapToGrid/>
              <w:spacing w:line="240" w:lineRule="atLeast"/>
              <w:ind w:left="0" w:right="0" w:firstLine="0" w:firstLineChars="0"/>
              <w:jc w:val="center"/>
              <w:textAlignment w:val="auto"/>
              <w:rPr>
                <w:rFonts w:hint="eastAsia" w:ascii="宋体" w:hAnsi="宋体" w:eastAsia="宋体" w:cs="宋体"/>
                <w:sz w:val="24"/>
                <w:szCs w:val="24"/>
              </w:rPr>
            </w:pPr>
            <w:r>
              <w:rPr>
                <w:rFonts w:hint="eastAsia" w:ascii="宋体" w:hAnsi="宋体" w:eastAsia="宋体" w:cs="宋体"/>
                <w:sz w:val="24"/>
                <w:szCs w:val="24"/>
              </w:rPr>
              <w:t>B过程</w:t>
            </w:r>
          </w:p>
        </w:tc>
        <w:tc>
          <w:tcPr>
            <w:tcW w:w="2211" w:type="dxa"/>
            <w:tcBorders>
              <w:top w:val="dotted" w:color="000000" w:sz="4" w:space="0"/>
              <w:left w:val="dotted" w:color="000000" w:sz="4" w:space="0"/>
              <w:bottom w:val="dotted" w:color="000000" w:sz="4" w:space="0"/>
              <w:right w:val="dotted" w:color="000000" w:sz="4" w:space="0"/>
            </w:tcBorders>
            <w:vAlign w:val="center"/>
          </w:tcPr>
          <w:p>
            <w:pPr>
              <w:pStyle w:val="21"/>
              <w:keepNext w:val="0"/>
              <w:keepLines w:val="0"/>
              <w:pageBreakBefore w:val="0"/>
              <w:widowControl w:val="0"/>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hint="eastAsia" w:ascii="宋体" w:hAnsi="宋体" w:eastAsia="宋体" w:cs="宋体"/>
                <w:sz w:val="24"/>
                <w:szCs w:val="24"/>
              </w:rPr>
            </w:pPr>
            <w:r>
              <w:rPr>
                <w:rFonts w:hint="eastAsia" w:ascii="宋体" w:hAnsi="宋体" w:eastAsia="宋体" w:cs="宋体"/>
                <w:b w:val="0"/>
                <w:bCs/>
                <w:sz w:val="24"/>
                <w:szCs w:val="24"/>
                <w:lang w:val="en-US" w:eastAsia="zh-CN"/>
              </w:rPr>
              <w:t>2</w:t>
            </w:r>
            <w:r>
              <w:rPr>
                <w:rFonts w:hint="default" w:ascii="宋体" w:hAnsi="宋体" w:eastAsia="宋体" w:cs="宋体"/>
                <w:b w:val="0"/>
                <w:bCs/>
                <w:sz w:val="24"/>
                <w:szCs w:val="24"/>
                <w:lang w:eastAsia="zh-CN"/>
              </w:rPr>
              <w:fldChar w:fldCharType="begin"/>
            </w:r>
            <w:r>
              <w:rPr>
                <w:rFonts w:hint="default" w:ascii="宋体" w:hAnsi="宋体" w:eastAsia="宋体" w:cs="宋体"/>
                <w:b w:val="0"/>
                <w:bCs/>
                <w:sz w:val="24"/>
                <w:szCs w:val="24"/>
                <w:lang w:eastAsia="zh-CN"/>
              </w:rPr>
              <w:instrText xml:space="preserve"> =SUM(LEFT) \* MERGEFORMAT </w:instrText>
            </w:r>
            <w:r>
              <w:rPr>
                <w:rFonts w:hint="default" w:ascii="宋体" w:hAnsi="宋体" w:eastAsia="宋体" w:cs="宋体"/>
                <w:b w:val="0"/>
                <w:bCs/>
                <w:sz w:val="24"/>
                <w:szCs w:val="24"/>
                <w:lang w:eastAsia="zh-CN"/>
              </w:rPr>
              <w:fldChar w:fldCharType="separate"/>
            </w:r>
            <w:r>
              <w:rPr>
                <w:rFonts w:hint="default" w:ascii="宋体" w:hAnsi="宋体" w:eastAsia="宋体" w:cs="宋体"/>
                <w:b w:val="0"/>
                <w:bCs/>
                <w:sz w:val="24"/>
                <w:szCs w:val="24"/>
                <w:lang w:eastAsia="zh-CN"/>
              </w:rPr>
              <w:t>0</w:t>
            </w:r>
            <w:r>
              <w:rPr>
                <w:rFonts w:hint="default" w:ascii="宋体" w:hAnsi="宋体" w:eastAsia="宋体" w:cs="宋体"/>
                <w:b w:val="0"/>
                <w:bCs/>
                <w:sz w:val="24"/>
                <w:szCs w:val="24"/>
                <w:lang w:eastAsia="zh-CN"/>
              </w:rPr>
              <w:fldChar w:fldCharType="end"/>
            </w:r>
          </w:p>
        </w:tc>
        <w:tc>
          <w:tcPr>
            <w:tcW w:w="2211" w:type="dxa"/>
            <w:tcBorders>
              <w:top w:val="dotted" w:color="000000" w:sz="4" w:space="0"/>
              <w:left w:val="dotted" w:color="000000" w:sz="4" w:space="0"/>
              <w:bottom w:val="dotted" w:color="000000" w:sz="4" w:space="0"/>
              <w:right w:val="dotted" w:color="000000" w:sz="4" w:space="0"/>
            </w:tcBorders>
            <w:vAlign w:val="center"/>
          </w:tcPr>
          <w:p>
            <w:pPr>
              <w:pStyle w:val="21"/>
              <w:keepNext w:val="0"/>
              <w:keepLines w:val="0"/>
              <w:pageBreakBefore w:val="0"/>
              <w:widowControl w:val="0"/>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hint="default" w:ascii="宋体" w:hAnsi="宋体" w:eastAsia="宋体" w:cs="宋体"/>
                <w:sz w:val="24"/>
                <w:szCs w:val="24"/>
                <w:lang w:val="en-US" w:eastAsia="zh-CN"/>
              </w:rPr>
            </w:pPr>
            <w:r>
              <w:rPr>
                <w:rFonts w:hint="eastAsia" w:ascii="宋体" w:hAnsi="宋体" w:eastAsia="宋体" w:cs="宋体"/>
                <w:b w:val="0"/>
                <w:bCs/>
                <w:sz w:val="24"/>
                <w:szCs w:val="24"/>
                <w:lang w:val="en-US" w:eastAsia="zh-CN"/>
              </w:rPr>
              <w:t>17.8</w:t>
            </w:r>
          </w:p>
        </w:tc>
        <w:tc>
          <w:tcPr>
            <w:tcW w:w="2211" w:type="dxa"/>
            <w:tcBorders>
              <w:top w:val="dotted" w:color="000000" w:sz="4" w:space="0"/>
              <w:left w:val="dotted" w:color="000000" w:sz="4" w:space="0"/>
              <w:bottom w:val="dotted" w:color="000000" w:sz="4" w:space="0"/>
              <w:right w:val="nil"/>
            </w:tcBorders>
            <w:vAlign w:val="center"/>
          </w:tcPr>
          <w:p>
            <w:pPr>
              <w:keepNext w:val="0"/>
              <w:keepLines w:val="0"/>
              <w:widowControl/>
              <w:suppressLineNumbers w:val="0"/>
              <w:jc w:val="center"/>
              <w:textAlignment w:val="center"/>
              <w:rPr>
                <w:rFonts w:hint="eastAsia" w:ascii="宋体" w:hAnsi="宋体" w:eastAsia="宋体" w:cs="宋体"/>
                <w:sz w:val="24"/>
                <w:szCs w:val="24"/>
              </w:rPr>
            </w:pPr>
            <w:r>
              <w:rPr>
                <w:rFonts w:hint="eastAsia" w:ascii="宋体" w:hAnsi="宋体" w:cs="宋体"/>
                <w:b w:val="0"/>
                <w:bCs/>
                <w:i w:val="0"/>
                <w:iCs w:val="0"/>
                <w:color w:val="000000"/>
                <w:kern w:val="0"/>
                <w:sz w:val="24"/>
                <w:szCs w:val="24"/>
                <w:u w:val="none"/>
                <w:lang w:val="en-US" w:eastAsia="zh-CN" w:bidi="ar"/>
              </w:rPr>
              <w:t>89</w:t>
            </w:r>
            <w:r>
              <w:rPr>
                <w:rFonts w:hint="eastAsia" w:ascii="宋体" w:hAnsi="宋体" w:eastAsia="宋体" w:cs="宋体"/>
                <w:b w:val="0"/>
                <w:bCs/>
                <w:i w:val="0"/>
                <w:iCs w:val="0"/>
                <w:color w:val="000000"/>
                <w:kern w:val="0"/>
                <w:sz w:val="24"/>
                <w:szCs w:val="24"/>
                <w:u w:val="none"/>
                <w:lang w:val="en-US" w:eastAsia="zh-CN" w:bidi="ar"/>
              </w:rPr>
              <w:t>%</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10" w:hRule="atLeast"/>
          <w:jc w:val="center"/>
        </w:trPr>
        <w:tc>
          <w:tcPr>
            <w:tcW w:w="2324" w:type="dxa"/>
            <w:tcBorders>
              <w:top w:val="dotted" w:color="000000" w:sz="4" w:space="0"/>
              <w:left w:val="nil"/>
              <w:bottom w:val="dotted" w:color="000000" w:sz="4" w:space="0"/>
              <w:right w:val="dotted" w:color="000000" w:sz="4" w:space="0"/>
            </w:tcBorders>
            <w:vAlign w:val="center"/>
          </w:tcPr>
          <w:p>
            <w:pPr>
              <w:pStyle w:val="21"/>
              <w:keepNext w:val="0"/>
              <w:keepLines w:val="0"/>
              <w:pageBreakBefore w:val="0"/>
              <w:widowControl w:val="0"/>
              <w:kinsoku/>
              <w:wordWrap/>
              <w:overflowPunct/>
              <w:topLinePunct w:val="0"/>
              <w:autoSpaceDE/>
              <w:autoSpaceDN/>
              <w:bidi w:val="0"/>
              <w:adjustRightInd/>
              <w:snapToGrid/>
              <w:spacing w:line="240" w:lineRule="atLeast"/>
              <w:ind w:left="0" w:right="0" w:firstLine="0" w:firstLineChars="0"/>
              <w:jc w:val="center"/>
              <w:textAlignment w:val="auto"/>
              <w:rPr>
                <w:rFonts w:hint="eastAsia" w:ascii="宋体" w:hAnsi="宋体" w:eastAsia="宋体" w:cs="宋体"/>
                <w:sz w:val="24"/>
                <w:szCs w:val="24"/>
              </w:rPr>
            </w:pPr>
            <w:r>
              <w:rPr>
                <w:rFonts w:hint="eastAsia" w:ascii="宋体" w:hAnsi="宋体" w:eastAsia="宋体" w:cs="宋体"/>
                <w:sz w:val="24"/>
                <w:szCs w:val="24"/>
              </w:rPr>
              <w:t>C产出</w:t>
            </w:r>
          </w:p>
        </w:tc>
        <w:tc>
          <w:tcPr>
            <w:tcW w:w="2211" w:type="dxa"/>
            <w:tcBorders>
              <w:top w:val="dotted" w:color="000000" w:sz="4" w:space="0"/>
              <w:left w:val="dotted" w:color="000000" w:sz="4" w:space="0"/>
              <w:bottom w:val="dotted" w:color="000000" w:sz="4" w:space="0"/>
              <w:right w:val="dotted" w:color="000000" w:sz="4" w:space="0"/>
            </w:tcBorders>
            <w:vAlign w:val="center"/>
          </w:tcPr>
          <w:p>
            <w:pPr>
              <w:pStyle w:val="21"/>
              <w:keepNext w:val="0"/>
              <w:keepLines w:val="0"/>
              <w:pageBreakBefore w:val="0"/>
              <w:kinsoku/>
              <w:wordWrap/>
              <w:overflowPunct/>
              <w:topLinePunct w:val="0"/>
              <w:autoSpaceDE/>
              <w:autoSpaceDN/>
              <w:bidi w:val="0"/>
              <w:adjustRightInd/>
              <w:snapToGrid/>
              <w:spacing w:line="240" w:lineRule="atLeast"/>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30</w:t>
            </w:r>
          </w:p>
        </w:tc>
        <w:tc>
          <w:tcPr>
            <w:tcW w:w="2211" w:type="dxa"/>
            <w:tcBorders>
              <w:top w:val="dotted" w:color="000000" w:sz="4" w:space="0"/>
              <w:left w:val="dotted" w:color="000000" w:sz="4" w:space="0"/>
              <w:bottom w:val="dotted" w:color="000000" w:sz="4" w:space="0"/>
              <w:right w:val="dotted" w:color="000000" w:sz="4" w:space="0"/>
            </w:tcBorders>
            <w:vAlign w:val="center"/>
          </w:tcPr>
          <w:p>
            <w:pPr>
              <w:pStyle w:val="21"/>
              <w:keepNext w:val="0"/>
              <w:keepLines w:val="0"/>
              <w:pageBreakBefore w:val="0"/>
              <w:widowControl w:val="0"/>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hint="default" w:ascii="宋体" w:hAnsi="宋体" w:eastAsia="宋体" w:cs="宋体"/>
                <w:sz w:val="24"/>
                <w:szCs w:val="24"/>
                <w:lang w:val="en-US" w:eastAsia="zh-CN"/>
              </w:rPr>
            </w:pPr>
            <w:r>
              <w:rPr>
                <w:rFonts w:hint="default" w:ascii="宋体" w:hAnsi="宋体" w:eastAsia="宋体" w:cs="宋体"/>
                <w:sz w:val="24"/>
                <w:szCs w:val="24"/>
                <w:lang w:eastAsia="zh-CN"/>
              </w:rPr>
              <w:fldChar w:fldCharType="begin"/>
            </w:r>
            <w:r>
              <w:rPr>
                <w:rFonts w:hint="default" w:ascii="宋体" w:hAnsi="宋体" w:eastAsia="宋体" w:cs="宋体"/>
                <w:sz w:val="24"/>
                <w:szCs w:val="24"/>
                <w:lang w:eastAsia="zh-CN"/>
              </w:rPr>
              <w:instrText xml:space="preserve"> =SUM(ABOVE) \* MERGEFORMAT </w:instrText>
            </w:r>
            <w:r>
              <w:rPr>
                <w:rFonts w:hint="default" w:ascii="宋体" w:hAnsi="宋体" w:eastAsia="宋体" w:cs="宋体"/>
                <w:sz w:val="24"/>
                <w:szCs w:val="24"/>
                <w:lang w:eastAsia="zh-CN"/>
              </w:rPr>
              <w:fldChar w:fldCharType="separate"/>
            </w:r>
            <w:r>
              <w:rPr>
                <w:rFonts w:hint="default" w:ascii="宋体" w:hAnsi="宋体" w:eastAsia="宋体" w:cs="宋体"/>
                <w:sz w:val="24"/>
                <w:szCs w:val="24"/>
                <w:lang w:eastAsia="zh-CN"/>
              </w:rPr>
              <w:t>24</w:t>
            </w:r>
            <w:r>
              <w:rPr>
                <w:rFonts w:hint="default" w:ascii="宋体" w:hAnsi="宋体" w:eastAsia="宋体" w:cs="宋体"/>
                <w:sz w:val="24"/>
                <w:szCs w:val="24"/>
                <w:lang w:eastAsia="zh-CN"/>
              </w:rPr>
              <w:fldChar w:fldCharType="end"/>
            </w:r>
          </w:p>
        </w:tc>
        <w:tc>
          <w:tcPr>
            <w:tcW w:w="2211" w:type="dxa"/>
            <w:tcBorders>
              <w:top w:val="dotted" w:color="000000" w:sz="4" w:space="0"/>
              <w:left w:val="dotted" w:color="000000" w:sz="4" w:space="0"/>
              <w:bottom w:val="dotted" w:color="000000" w:sz="4" w:space="0"/>
              <w:right w:val="nil"/>
            </w:tcBorders>
            <w:vAlign w:val="center"/>
          </w:tcPr>
          <w:p>
            <w:pPr>
              <w:keepNext w:val="0"/>
              <w:keepLines w:val="0"/>
              <w:widowControl/>
              <w:suppressLineNumbers w:val="0"/>
              <w:jc w:val="center"/>
              <w:textAlignment w:val="center"/>
              <w:rPr>
                <w:rFonts w:hint="eastAsia" w:ascii="宋体" w:hAnsi="宋体" w:eastAsia="宋体" w:cs="宋体"/>
                <w:sz w:val="24"/>
                <w:szCs w:val="24"/>
              </w:rPr>
            </w:pPr>
            <w:r>
              <w:rPr>
                <w:rFonts w:hint="eastAsia" w:ascii="宋体" w:hAnsi="宋体" w:eastAsia="宋体" w:cs="宋体"/>
                <w:i w:val="0"/>
                <w:iCs w:val="0"/>
                <w:color w:val="000000"/>
                <w:kern w:val="0"/>
                <w:sz w:val="24"/>
                <w:szCs w:val="24"/>
                <w:u w:val="none"/>
                <w:lang w:val="en-US" w:eastAsia="zh-CN" w:bidi="ar"/>
              </w:rPr>
              <w:t>80%</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10" w:hRule="atLeast"/>
          <w:jc w:val="center"/>
        </w:trPr>
        <w:tc>
          <w:tcPr>
            <w:tcW w:w="2324" w:type="dxa"/>
            <w:tcBorders>
              <w:top w:val="dotted" w:color="000000" w:sz="4" w:space="0"/>
              <w:left w:val="nil"/>
              <w:bottom w:val="dotted" w:color="000000" w:sz="4" w:space="0"/>
              <w:right w:val="dotted" w:color="000000" w:sz="4" w:space="0"/>
            </w:tcBorders>
            <w:vAlign w:val="center"/>
          </w:tcPr>
          <w:p>
            <w:pPr>
              <w:pStyle w:val="21"/>
              <w:keepNext w:val="0"/>
              <w:keepLines w:val="0"/>
              <w:pageBreakBefore w:val="0"/>
              <w:widowControl w:val="0"/>
              <w:kinsoku/>
              <w:wordWrap/>
              <w:overflowPunct/>
              <w:topLinePunct w:val="0"/>
              <w:autoSpaceDE/>
              <w:autoSpaceDN/>
              <w:bidi w:val="0"/>
              <w:adjustRightInd/>
              <w:snapToGrid/>
              <w:spacing w:line="240" w:lineRule="atLeast"/>
              <w:ind w:left="0" w:right="0" w:firstLine="0" w:firstLineChars="0"/>
              <w:jc w:val="center"/>
              <w:textAlignment w:val="auto"/>
              <w:rPr>
                <w:rFonts w:hint="eastAsia" w:ascii="宋体" w:hAnsi="宋体" w:eastAsia="宋体" w:cs="宋体"/>
                <w:sz w:val="24"/>
                <w:szCs w:val="24"/>
                <w:lang w:eastAsia="zh-CN"/>
              </w:rPr>
            </w:pPr>
            <w:r>
              <w:rPr>
                <w:rFonts w:hint="eastAsia" w:ascii="宋体" w:hAnsi="宋体" w:eastAsia="宋体" w:cs="宋体"/>
                <w:sz w:val="24"/>
                <w:szCs w:val="24"/>
              </w:rPr>
              <w:t>D</w:t>
            </w:r>
            <w:r>
              <w:rPr>
                <w:rFonts w:hint="eastAsia" w:ascii="宋体" w:hAnsi="宋体" w:eastAsia="宋体" w:cs="宋体"/>
                <w:sz w:val="24"/>
                <w:szCs w:val="24"/>
                <w:lang w:val="en-US" w:eastAsia="zh-CN"/>
              </w:rPr>
              <w:t>效益</w:t>
            </w:r>
          </w:p>
        </w:tc>
        <w:tc>
          <w:tcPr>
            <w:tcW w:w="2211" w:type="dxa"/>
            <w:tcBorders>
              <w:top w:val="dotted" w:color="000000" w:sz="4" w:space="0"/>
              <w:left w:val="dotted" w:color="000000" w:sz="4" w:space="0"/>
              <w:bottom w:val="dotted" w:color="000000" w:sz="4" w:space="0"/>
              <w:right w:val="dotted" w:color="000000" w:sz="4" w:space="0"/>
            </w:tcBorders>
            <w:vAlign w:val="center"/>
          </w:tcPr>
          <w:p>
            <w:pPr>
              <w:pStyle w:val="21"/>
              <w:keepNext w:val="0"/>
              <w:keepLines w:val="0"/>
              <w:pageBreakBefore w:val="0"/>
              <w:widowControl w:val="0"/>
              <w:kinsoku/>
              <w:wordWrap/>
              <w:overflowPunct/>
              <w:topLinePunct w:val="0"/>
              <w:autoSpaceDE/>
              <w:autoSpaceDN/>
              <w:bidi w:val="0"/>
              <w:adjustRightInd/>
              <w:snapToGrid/>
              <w:spacing w:line="240" w:lineRule="atLeast"/>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sz w:val="24"/>
                <w:szCs w:val="24"/>
                <w:lang w:eastAsia="zh-CN"/>
              </w:rPr>
              <w:fldChar w:fldCharType="begin"/>
            </w:r>
            <w:r>
              <w:rPr>
                <w:rFonts w:hint="eastAsia" w:ascii="宋体" w:hAnsi="宋体" w:eastAsia="宋体" w:cs="宋体"/>
                <w:sz w:val="24"/>
                <w:szCs w:val="24"/>
                <w:lang w:eastAsia="zh-CN"/>
              </w:rPr>
              <w:instrText xml:space="preserve"> =SUM(ABOVE) \* MERGEFORMAT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lang w:eastAsia="zh-CN"/>
              </w:rPr>
              <w:t>30</w:t>
            </w:r>
            <w:r>
              <w:rPr>
                <w:rFonts w:hint="eastAsia" w:ascii="宋体" w:hAnsi="宋体" w:eastAsia="宋体" w:cs="宋体"/>
                <w:sz w:val="24"/>
                <w:szCs w:val="24"/>
                <w:lang w:eastAsia="zh-CN"/>
              </w:rPr>
              <w:fldChar w:fldCharType="end"/>
            </w:r>
          </w:p>
        </w:tc>
        <w:tc>
          <w:tcPr>
            <w:tcW w:w="2211" w:type="dxa"/>
            <w:tcBorders>
              <w:top w:val="dotted" w:color="000000" w:sz="4" w:space="0"/>
              <w:left w:val="dotted" w:color="000000" w:sz="4" w:space="0"/>
              <w:bottom w:val="dotted" w:color="000000" w:sz="4" w:space="0"/>
              <w:right w:val="dotted" w:color="000000" w:sz="4" w:space="0"/>
            </w:tcBorders>
            <w:vAlign w:val="center"/>
          </w:tcPr>
          <w:p>
            <w:pPr>
              <w:pStyle w:val="21"/>
              <w:keepNext w:val="0"/>
              <w:keepLines w:val="0"/>
              <w:pageBreakBefore w:val="0"/>
              <w:widowControl w:val="0"/>
              <w:kinsoku/>
              <w:wordWrap/>
              <w:overflowPunct/>
              <w:topLinePunct w:val="0"/>
              <w:autoSpaceDE/>
              <w:autoSpaceDN/>
              <w:bidi w:val="0"/>
              <w:adjustRightInd/>
              <w:snapToGrid/>
              <w:spacing w:line="240" w:lineRule="atLeast"/>
              <w:ind w:left="0" w:leftChars="0" w:right="0" w:rightChars="0" w:firstLine="0" w:firstLineChars="0"/>
              <w:jc w:val="center"/>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0</w:t>
            </w:r>
          </w:p>
        </w:tc>
        <w:tc>
          <w:tcPr>
            <w:tcW w:w="2211" w:type="dxa"/>
            <w:tcBorders>
              <w:top w:val="dotted" w:color="000000" w:sz="4" w:space="0"/>
              <w:left w:val="dotted" w:color="000000" w:sz="4" w:space="0"/>
              <w:bottom w:val="dotted" w:color="000000" w:sz="4" w:space="0"/>
              <w:right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sz w:val="24"/>
                <w:szCs w:val="24"/>
              </w:rPr>
            </w:pPr>
            <w:r>
              <w:rPr>
                <w:rFonts w:hint="eastAsia" w:ascii="宋体" w:hAnsi="宋体" w:cs="宋体"/>
                <w:i w:val="0"/>
                <w:iCs w:val="0"/>
                <w:color w:val="000000"/>
                <w:kern w:val="0"/>
                <w:sz w:val="22"/>
                <w:szCs w:val="22"/>
                <w:u w:val="none"/>
                <w:lang w:val="en-US" w:eastAsia="zh-CN" w:bidi="ar"/>
              </w:rPr>
              <w:t>0</w:t>
            </w:r>
            <w:r>
              <w:rPr>
                <w:rFonts w:hint="eastAsia" w:ascii="宋体" w:hAnsi="宋体" w:eastAsia="宋体" w:cs="宋体"/>
                <w:i w:val="0"/>
                <w:iCs w:val="0"/>
                <w:color w:val="000000"/>
                <w:kern w:val="0"/>
                <w:sz w:val="22"/>
                <w:szCs w:val="22"/>
                <w:u w:val="none"/>
                <w:lang w:val="en-US" w:eastAsia="zh-CN" w:bidi="ar"/>
              </w:rPr>
              <w:t>%</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10" w:hRule="atLeast"/>
          <w:jc w:val="center"/>
        </w:trPr>
        <w:tc>
          <w:tcPr>
            <w:tcW w:w="2324" w:type="dxa"/>
            <w:tcBorders>
              <w:top w:val="dotted" w:color="000000" w:sz="4" w:space="0"/>
              <w:left w:val="nil"/>
              <w:bottom w:val="double" w:color="000000" w:sz="4" w:space="0"/>
              <w:right w:val="dotted" w:color="000000" w:sz="4" w:space="0"/>
            </w:tcBorders>
            <w:vAlign w:val="center"/>
          </w:tcPr>
          <w:p>
            <w:pPr>
              <w:pStyle w:val="21"/>
              <w:keepNext w:val="0"/>
              <w:keepLines w:val="0"/>
              <w:pageBreakBefore w:val="0"/>
              <w:widowControl w:val="0"/>
              <w:kinsoku/>
              <w:wordWrap/>
              <w:overflowPunct/>
              <w:topLinePunct w:val="0"/>
              <w:autoSpaceDE/>
              <w:autoSpaceDN/>
              <w:bidi w:val="0"/>
              <w:adjustRightInd/>
              <w:snapToGrid/>
              <w:spacing w:line="240" w:lineRule="atLeast"/>
              <w:ind w:left="0" w:right="0" w:firstLine="0" w:firstLineChars="0"/>
              <w:jc w:val="center"/>
              <w:textAlignment w:val="auto"/>
              <w:rPr>
                <w:rFonts w:hint="eastAsia" w:ascii="宋体" w:hAnsi="宋体" w:eastAsia="宋体" w:cs="宋体"/>
                <w:b w:val="0"/>
                <w:bCs/>
                <w:sz w:val="24"/>
                <w:szCs w:val="24"/>
              </w:rPr>
            </w:pPr>
            <w:r>
              <w:rPr>
                <w:rFonts w:hint="eastAsia" w:ascii="宋体" w:hAnsi="宋体" w:eastAsia="宋体" w:cs="宋体"/>
                <w:b w:val="0"/>
                <w:bCs/>
                <w:sz w:val="24"/>
                <w:szCs w:val="24"/>
              </w:rPr>
              <w:t>合 计</w:t>
            </w:r>
          </w:p>
        </w:tc>
        <w:tc>
          <w:tcPr>
            <w:tcW w:w="2211" w:type="dxa"/>
            <w:tcBorders>
              <w:top w:val="dotted" w:color="000000" w:sz="4" w:space="0"/>
              <w:left w:val="dotted" w:color="000000" w:sz="4" w:space="0"/>
              <w:bottom w:val="double" w:color="000000" w:sz="4" w:space="0"/>
              <w:right w:val="dotted" w:color="000000" w:sz="4" w:space="0"/>
            </w:tcBorders>
            <w:vAlign w:val="center"/>
          </w:tcPr>
          <w:p>
            <w:pPr>
              <w:pStyle w:val="21"/>
              <w:keepNext w:val="0"/>
              <w:keepLines w:val="0"/>
              <w:pageBreakBefore w:val="0"/>
              <w:widowControl w:val="0"/>
              <w:kinsoku/>
              <w:wordWrap/>
              <w:overflowPunct/>
              <w:topLinePunct w:val="0"/>
              <w:autoSpaceDE/>
              <w:autoSpaceDN/>
              <w:bidi w:val="0"/>
              <w:adjustRightInd/>
              <w:snapToGrid/>
              <w:spacing w:line="240" w:lineRule="atLeast"/>
              <w:ind w:left="0" w:right="0" w:firstLine="0" w:firstLineChars="0"/>
              <w:jc w:val="center"/>
              <w:textAlignment w:val="auto"/>
              <w:rPr>
                <w:rFonts w:hint="eastAsia" w:ascii="宋体" w:hAnsi="宋体" w:eastAsia="宋体" w:cs="宋体"/>
                <w:b w:val="0"/>
                <w:bCs/>
                <w:sz w:val="24"/>
                <w:szCs w:val="24"/>
              </w:rPr>
            </w:pPr>
            <w:r>
              <w:rPr>
                <w:rFonts w:hint="eastAsia" w:ascii="宋体" w:hAnsi="宋体" w:eastAsia="宋体" w:cs="宋体"/>
                <w:b w:val="0"/>
                <w:bCs/>
                <w:sz w:val="24"/>
                <w:szCs w:val="24"/>
              </w:rPr>
              <w:t>100</w:t>
            </w:r>
          </w:p>
        </w:tc>
        <w:tc>
          <w:tcPr>
            <w:tcW w:w="2211" w:type="dxa"/>
            <w:tcBorders>
              <w:top w:val="dotted" w:color="000000" w:sz="4" w:space="0"/>
              <w:left w:val="dotted" w:color="000000" w:sz="4" w:space="0"/>
              <w:bottom w:val="double" w:color="000000" w:sz="4" w:space="0"/>
              <w:right w:val="dotted" w:color="000000" w:sz="4" w:space="0"/>
            </w:tcBorders>
            <w:vAlign w:val="center"/>
          </w:tcPr>
          <w:p>
            <w:pPr>
              <w:pStyle w:val="21"/>
              <w:keepNext w:val="0"/>
              <w:keepLines w:val="0"/>
              <w:pageBreakBefore w:val="0"/>
              <w:widowControl w:val="0"/>
              <w:kinsoku/>
              <w:wordWrap/>
              <w:overflowPunct/>
              <w:topLinePunct w:val="0"/>
              <w:autoSpaceDE/>
              <w:autoSpaceDN/>
              <w:bidi w:val="0"/>
              <w:adjustRightInd/>
              <w:snapToGrid/>
              <w:spacing w:line="240" w:lineRule="atLeast"/>
              <w:ind w:left="0" w:right="0" w:firstLine="0" w:firstLineChars="0"/>
              <w:jc w:val="center"/>
              <w:textAlignment w:val="auto"/>
              <w:rPr>
                <w:rFonts w:hint="default" w:ascii="宋体" w:hAnsi="宋体" w:eastAsia="宋体" w:cs="宋体"/>
                <w:b w:val="0"/>
                <w:bCs/>
                <w:sz w:val="24"/>
                <w:szCs w:val="24"/>
                <w:lang w:val="en-US" w:eastAsia="zh-CN"/>
              </w:rPr>
            </w:pPr>
            <w:r>
              <w:rPr>
                <w:rFonts w:hint="default" w:ascii="宋体" w:hAnsi="宋体" w:eastAsia="宋体" w:cs="宋体"/>
                <w:b w:val="0"/>
                <w:bCs/>
                <w:sz w:val="24"/>
                <w:szCs w:val="24"/>
                <w:lang w:eastAsia="zh-CN"/>
              </w:rPr>
              <w:fldChar w:fldCharType="begin"/>
            </w:r>
            <w:r>
              <w:rPr>
                <w:rFonts w:hint="default" w:ascii="宋体" w:hAnsi="宋体" w:eastAsia="宋体" w:cs="宋体"/>
                <w:b w:val="0"/>
                <w:bCs/>
                <w:sz w:val="24"/>
                <w:szCs w:val="24"/>
                <w:lang w:eastAsia="zh-CN"/>
              </w:rPr>
              <w:instrText xml:space="preserve"> =SUM(ABOVE) \* MERGEFORMAT </w:instrText>
            </w:r>
            <w:r>
              <w:rPr>
                <w:rFonts w:hint="default" w:ascii="宋体" w:hAnsi="宋体" w:eastAsia="宋体" w:cs="宋体"/>
                <w:b w:val="0"/>
                <w:bCs/>
                <w:sz w:val="24"/>
                <w:szCs w:val="24"/>
                <w:lang w:eastAsia="zh-CN"/>
              </w:rPr>
              <w:fldChar w:fldCharType="separate"/>
            </w:r>
            <w:r>
              <w:rPr>
                <w:rFonts w:hint="default" w:ascii="宋体" w:hAnsi="宋体" w:eastAsia="宋体" w:cs="宋体"/>
                <w:b w:val="0"/>
                <w:bCs/>
                <w:sz w:val="24"/>
                <w:szCs w:val="24"/>
                <w:lang w:eastAsia="zh-CN"/>
              </w:rPr>
              <w:t>58.2</w:t>
            </w:r>
            <w:r>
              <w:rPr>
                <w:rFonts w:hint="default" w:ascii="宋体" w:hAnsi="宋体" w:eastAsia="宋体" w:cs="宋体"/>
                <w:b w:val="0"/>
                <w:bCs/>
                <w:sz w:val="24"/>
                <w:szCs w:val="24"/>
                <w:lang w:eastAsia="zh-CN"/>
              </w:rPr>
              <w:fldChar w:fldCharType="end"/>
            </w:r>
          </w:p>
        </w:tc>
        <w:tc>
          <w:tcPr>
            <w:tcW w:w="2211" w:type="dxa"/>
            <w:tcBorders>
              <w:top w:val="dotted" w:color="000000" w:sz="4" w:space="0"/>
              <w:left w:val="dotted" w:color="000000" w:sz="4" w:space="0"/>
              <w:bottom w:val="double" w:color="000000" w:sz="4" w:space="0"/>
              <w:right w:val="nil"/>
            </w:tcBorders>
            <w:vAlign w:val="center"/>
          </w:tcPr>
          <w:p>
            <w:pPr>
              <w:keepNext w:val="0"/>
              <w:keepLines w:val="0"/>
              <w:widowControl/>
              <w:suppressLineNumbers w:val="0"/>
              <w:jc w:val="center"/>
              <w:textAlignment w:val="center"/>
              <w:rPr>
                <w:rFonts w:hint="eastAsia" w:ascii="宋体" w:hAnsi="宋体" w:eastAsia="宋体" w:cs="宋体"/>
                <w:b w:val="0"/>
                <w:bCs/>
                <w:sz w:val="24"/>
                <w:szCs w:val="24"/>
              </w:rPr>
            </w:pPr>
            <w:r>
              <w:rPr>
                <w:rFonts w:hint="default" w:ascii="宋体" w:hAnsi="宋体" w:eastAsia="宋体" w:cs="宋体"/>
                <w:b w:val="0"/>
                <w:bCs/>
                <w:sz w:val="24"/>
                <w:szCs w:val="24"/>
                <w:lang w:eastAsia="zh-CN"/>
              </w:rPr>
              <w:fldChar w:fldCharType="begin"/>
            </w:r>
            <w:r>
              <w:rPr>
                <w:rFonts w:hint="default" w:ascii="宋体" w:hAnsi="宋体" w:eastAsia="宋体" w:cs="宋体"/>
                <w:b w:val="0"/>
                <w:bCs/>
                <w:sz w:val="24"/>
                <w:szCs w:val="24"/>
                <w:lang w:eastAsia="zh-CN"/>
              </w:rPr>
              <w:instrText xml:space="preserve"> =SUM(ABOVE) \* MERGEFORMAT </w:instrText>
            </w:r>
            <w:r>
              <w:rPr>
                <w:rFonts w:hint="default" w:ascii="宋体" w:hAnsi="宋体" w:eastAsia="宋体" w:cs="宋体"/>
                <w:b w:val="0"/>
                <w:bCs/>
                <w:sz w:val="24"/>
                <w:szCs w:val="24"/>
                <w:lang w:eastAsia="zh-CN"/>
              </w:rPr>
              <w:fldChar w:fldCharType="separate"/>
            </w:r>
            <w:r>
              <w:rPr>
                <w:rFonts w:hint="default" w:ascii="宋体" w:hAnsi="宋体" w:eastAsia="宋体" w:cs="宋体"/>
                <w:b w:val="0"/>
                <w:bCs/>
                <w:sz w:val="24"/>
                <w:szCs w:val="24"/>
                <w:lang w:eastAsia="zh-CN"/>
              </w:rPr>
              <w:t>58.2</w:t>
            </w:r>
            <w:r>
              <w:rPr>
                <w:rFonts w:hint="default" w:ascii="宋体" w:hAnsi="宋体" w:eastAsia="宋体" w:cs="宋体"/>
                <w:b w:val="0"/>
                <w:bCs/>
                <w:sz w:val="24"/>
                <w:szCs w:val="24"/>
                <w:lang w:eastAsia="zh-CN"/>
              </w:rPr>
              <w:fldChar w:fldCharType="end"/>
            </w:r>
            <w:r>
              <w:rPr>
                <w:rFonts w:hint="eastAsia" w:ascii="宋体" w:hAnsi="宋体" w:eastAsia="宋体" w:cs="宋体"/>
                <w:b w:val="0"/>
                <w:bCs/>
                <w:i w:val="0"/>
                <w:color w:val="000000"/>
                <w:kern w:val="0"/>
                <w:sz w:val="24"/>
                <w:szCs w:val="24"/>
                <w:u w:val="none"/>
                <w:lang w:val="en-US" w:eastAsia="zh-CN" w:bidi="ar"/>
              </w:rPr>
              <w:t>%</w:t>
            </w:r>
          </w:p>
        </w:tc>
      </w:tr>
    </w:tbl>
    <w:p>
      <w:pPr>
        <w:keepNext w:val="0"/>
        <w:keepLines w:val="0"/>
        <w:pageBreakBefore w:val="0"/>
        <w:widowControl/>
        <w:suppressLineNumbers w:val="0"/>
        <w:kinsoku/>
        <w:wordWrap/>
        <w:overflowPunct/>
        <w:topLinePunct w:val="0"/>
        <w:autoSpaceDE/>
        <w:autoSpaceDN/>
        <w:bidi w:val="0"/>
        <w:adjustRightInd w:val="0"/>
        <w:snapToGrid w:val="0"/>
        <w:spacing w:before="157" w:beforeLines="50" w:beforeAutospacing="0" w:after="0" w:afterAutospacing="0" w:line="360" w:lineRule="auto"/>
        <w:ind w:left="0" w:right="0" w:firstLine="560" w:firstLineChars="200"/>
        <w:jc w:val="left"/>
        <w:textAlignment w:val="auto"/>
        <w:outlineLvl w:val="1"/>
        <w:rPr>
          <w:rFonts w:hint="eastAsia" w:ascii="楷体_GB2312" w:hAnsi="楷体_GB2312" w:eastAsia="楷体_GB2312" w:cs="楷体_GB2312"/>
          <w:i w:val="0"/>
          <w:iCs w:val="0"/>
          <w:caps w:val="0"/>
          <w:color w:val="000000"/>
          <w:spacing w:val="0"/>
          <w:kern w:val="0"/>
          <w:sz w:val="28"/>
          <w:szCs w:val="27"/>
          <w:highlight w:val="none"/>
          <w:lang w:val="en-US" w:eastAsia="zh-CN" w:bidi="ar"/>
        </w:rPr>
      </w:pPr>
      <w:bookmarkStart w:id="49" w:name="_Toc31992"/>
      <w:bookmarkStart w:id="50" w:name="_Toc26581"/>
      <w:r>
        <w:rPr>
          <w:rFonts w:hint="eastAsia" w:ascii="楷体_GB2312" w:hAnsi="楷体_GB2312" w:eastAsia="楷体_GB2312" w:cs="楷体_GB2312"/>
          <w:i w:val="0"/>
          <w:iCs w:val="0"/>
          <w:caps w:val="0"/>
          <w:color w:val="000000"/>
          <w:spacing w:val="0"/>
          <w:kern w:val="0"/>
          <w:sz w:val="28"/>
          <w:szCs w:val="27"/>
          <w:highlight w:val="none"/>
          <w:lang w:val="en-US" w:eastAsia="zh-CN" w:bidi="ar"/>
        </w:rPr>
        <w:t>（二）评价结论</w:t>
      </w:r>
      <w:bookmarkEnd w:id="49"/>
      <w:bookmarkEnd w:id="50"/>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eastAsia" w:ascii="仿宋_GB2312" w:hAnsi="仿宋_GB2312" w:eastAsia="仿宋_GB2312" w:cs="仿宋_GB2312"/>
          <w:sz w:val="28"/>
          <w:szCs w:val="24"/>
          <w:lang w:val="en-US" w:eastAsia="zh-CN"/>
        </w:rPr>
      </w:pPr>
      <w:r>
        <w:rPr>
          <w:rFonts w:hint="eastAsia" w:ascii="仿宋_GB2312" w:hAnsi="仿宋_GB2312" w:eastAsia="仿宋_GB2312" w:cs="仿宋_GB2312"/>
          <w:sz w:val="28"/>
          <w:szCs w:val="24"/>
          <w:lang w:val="en-US" w:eastAsia="zh-CN"/>
        </w:rPr>
        <w:t>宁武县文化和旅游局2020年统筹整合财政资金的申报、评审、批准和下达程序规范，资金分配合理，符合相关资金管理办法的规定。宁武县文化和旅游局积极履行项目管理职责，加强项目的日常跟踪管理，定期检查资金使用情况，项目组织机构健全，实施程序规范，组织实施情况良好，项目资金使用合规，未发现截留、挤占、挪用项目资金情况。但项目存在一些困难和问题，如：项目立项程序有待健全和规范；项目前期准备工作不充分；现阶段项目绩效目标难以实现。</w:t>
      </w:r>
    </w:p>
    <w:p>
      <w:pPr>
        <w:keepNext w:val="0"/>
        <w:keepLines w:val="0"/>
        <w:pageBreakBefore w:val="0"/>
        <w:widowControl w:val="0"/>
        <w:numPr>
          <w:ilvl w:val="0"/>
          <w:numId w:val="0"/>
        </w:numPr>
        <w:tabs>
          <w:tab w:val="center" w:pos="4153"/>
        </w:tabs>
        <w:kinsoku/>
        <w:wordWrap/>
        <w:overflowPunct/>
        <w:topLinePunct w:val="0"/>
        <w:autoSpaceDE/>
        <w:autoSpaceDN/>
        <w:bidi w:val="0"/>
        <w:adjustRightInd/>
        <w:snapToGrid/>
        <w:spacing w:line="360" w:lineRule="auto"/>
        <w:ind w:left="630" w:leftChars="0"/>
        <w:textAlignment w:val="auto"/>
        <w:outlineLvl w:val="0"/>
        <w:rPr>
          <w:rFonts w:hint="eastAsia" w:ascii="黑体" w:hAnsi="黑体" w:eastAsia="黑体" w:cs="黑体"/>
          <w:b w:val="0"/>
          <w:bCs/>
          <w:sz w:val="28"/>
          <w:szCs w:val="28"/>
          <w:highlight w:val="none"/>
          <w:lang w:val="en-US" w:eastAsia="zh-CN"/>
        </w:rPr>
      </w:pPr>
      <w:bookmarkStart w:id="51" w:name="_Toc3941"/>
      <w:r>
        <w:rPr>
          <w:rFonts w:hint="eastAsia" w:ascii="黑体" w:hAnsi="黑体" w:eastAsia="黑体" w:cs="黑体"/>
          <w:b w:val="0"/>
          <w:bCs/>
          <w:sz w:val="28"/>
          <w:szCs w:val="28"/>
          <w:highlight w:val="none"/>
          <w:lang w:val="en-US" w:eastAsia="zh-CN"/>
        </w:rPr>
        <w:t>四、存在的问题</w:t>
      </w:r>
      <w:bookmarkEnd w:id="51"/>
    </w:p>
    <w:p>
      <w:pPr>
        <w:pStyle w:val="5"/>
        <w:bidi w:val="0"/>
        <w:rPr>
          <w:rFonts w:hint="eastAsia" w:ascii="仿宋_GB2312" w:hAnsi="仿宋_GB2312" w:eastAsia="仿宋_GB2312" w:cs="仿宋_GB2312"/>
          <w:b/>
          <w:bCs/>
          <w:szCs w:val="24"/>
          <w:highlight w:val="none"/>
          <w:lang w:val="en-US" w:eastAsia="zh-CN"/>
        </w:rPr>
      </w:pPr>
      <w:bookmarkStart w:id="52" w:name="_Toc10462"/>
      <w:bookmarkStart w:id="53" w:name="_Toc627"/>
      <w:bookmarkStart w:id="54" w:name="_Toc2868"/>
      <w:bookmarkStart w:id="55" w:name="_Toc5482"/>
      <w:bookmarkStart w:id="56" w:name="_Toc18093"/>
      <w:r>
        <w:rPr>
          <w:rFonts w:hint="eastAsia"/>
          <w:lang w:val="en-US" w:eastAsia="zh-CN"/>
        </w:rPr>
        <w:t>（一）项目立项程序有待健全和规范</w:t>
      </w:r>
      <w:bookmarkEnd w:id="52"/>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b w:val="0"/>
          <w:bCs w:val="0"/>
          <w:sz w:val="28"/>
          <w:szCs w:val="24"/>
          <w:highlight w:val="none"/>
          <w:lang w:val="en-US" w:eastAsia="zh-CN"/>
        </w:rPr>
      </w:pPr>
      <w:r>
        <w:rPr>
          <w:rFonts w:hint="eastAsia" w:ascii="仿宋_GB2312" w:hAnsi="仿宋_GB2312" w:eastAsia="仿宋_GB2312" w:cs="仿宋_GB2312"/>
          <w:b w:val="0"/>
          <w:bCs w:val="0"/>
          <w:sz w:val="28"/>
          <w:szCs w:val="24"/>
          <w:highlight w:val="none"/>
          <w:lang w:val="en-US" w:eastAsia="zh-CN"/>
        </w:rPr>
        <w:t xml:space="preserve">绩效评价的依据是被批复的预算，而绩效目标是预算绩效管理的基础。绩效评价组调研分析发现，该项目实施前，绩效目标设立依据不充分，绩效目标申报、管理不规范，极可能造成预算执行的偏差，项目立项程序有待规范管理。 </w:t>
      </w:r>
    </w:p>
    <w:p>
      <w:pPr>
        <w:pStyle w:val="5"/>
        <w:bidi w:val="0"/>
        <w:rPr>
          <w:rFonts w:hint="eastAsia" w:ascii="仿宋_GB2312" w:hAnsi="仿宋_GB2312" w:eastAsia="仿宋_GB2312" w:cs="仿宋_GB2312"/>
          <w:b/>
          <w:bCs/>
          <w:szCs w:val="24"/>
          <w:highlight w:val="none"/>
          <w:lang w:val="en-US" w:eastAsia="zh-CN"/>
        </w:rPr>
      </w:pPr>
      <w:bookmarkStart w:id="57" w:name="_Toc23572"/>
      <w:r>
        <w:rPr>
          <w:rFonts w:hint="eastAsia"/>
          <w:lang w:val="en-US" w:eastAsia="zh-CN"/>
        </w:rPr>
        <w:t>（二）项目前期准备工作不充分</w:t>
      </w:r>
      <w:bookmarkEnd w:id="57"/>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b w:val="0"/>
          <w:bCs w:val="0"/>
          <w:sz w:val="28"/>
          <w:szCs w:val="24"/>
          <w:highlight w:val="none"/>
          <w:lang w:val="en-US" w:eastAsia="zh-CN"/>
        </w:rPr>
      </w:pPr>
      <w:r>
        <w:rPr>
          <w:rFonts w:hint="eastAsia" w:ascii="仿宋_GB2312" w:hAnsi="仿宋_GB2312" w:eastAsia="仿宋_GB2312" w:cs="仿宋_GB2312"/>
          <w:b w:val="0"/>
          <w:bCs w:val="0"/>
          <w:sz w:val="28"/>
          <w:szCs w:val="24"/>
          <w:highlight w:val="none"/>
          <w:lang w:val="en-US" w:eastAsia="zh-CN"/>
        </w:rPr>
        <w:t>项目前期工作是从建设项目决策到开工以前的项目调研论证、立项、编制可行性研究报告、项目设计、编制工程概预算、招标、签订合同及开工准备等各项工作。项目前期工作完成的程度和深度直接影响工程的施工进度和质量。绩效评价中发现，东寨旅游特色一条街建设项目建设，尚未编制可行性研究报告，无项目实施方案，项目立项、工作缺乏计划性。</w:t>
      </w:r>
    </w:p>
    <w:p>
      <w:pPr>
        <w:pStyle w:val="5"/>
        <w:bidi w:val="0"/>
        <w:rPr>
          <w:rFonts w:hint="eastAsia"/>
          <w:lang w:val="en-US" w:eastAsia="zh-CN"/>
        </w:rPr>
      </w:pPr>
      <w:bookmarkStart w:id="58" w:name="_Toc31360"/>
      <w:r>
        <w:rPr>
          <w:rFonts w:hint="eastAsia"/>
          <w:lang w:val="en-US" w:eastAsia="zh-CN"/>
        </w:rPr>
        <w:t>（三）现阶段项目绩效目标难以实现</w:t>
      </w:r>
      <w:bookmarkEnd w:id="58"/>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4"/>
          <w:highlight w:val="none"/>
        </w:rPr>
      </w:pPr>
      <w:r>
        <w:rPr>
          <w:rFonts w:hint="eastAsia" w:ascii="仿宋_GB2312" w:hAnsi="仿宋_GB2312" w:eastAsia="仿宋_GB2312" w:cs="仿宋_GB2312"/>
          <w:b w:val="0"/>
          <w:bCs w:val="0"/>
          <w:sz w:val="28"/>
          <w:szCs w:val="24"/>
          <w:highlight w:val="none"/>
          <w:lang w:val="en-US" w:eastAsia="zh-CN"/>
        </w:rPr>
        <w:t>根据宁武县脱贫攻坚总指挥部《关于印发宁武县2020年统筹整合使用财政资金开展脱贫攻坚调整实施方案的通知》文件，项目预期目标“带动8000人发展旅游致富，人年均增收2000元”，但截至2021年9月项目仍在建设当中，工程进度与预算计划执行脱节，导致财政资金使用效益未能充分体现。</w:t>
      </w:r>
    </w:p>
    <w:p>
      <w:pPr>
        <w:keepNext w:val="0"/>
        <w:keepLines w:val="0"/>
        <w:pageBreakBefore w:val="0"/>
        <w:widowControl w:val="0"/>
        <w:numPr>
          <w:ilvl w:val="0"/>
          <w:numId w:val="0"/>
        </w:numPr>
        <w:tabs>
          <w:tab w:val="center" w:pos="4153"/>
        </w:tabs>
        <w:kinsoku/>
        <w:wordWrap/>
        <w:overflowPunct/>
        <w:topLinePunct w:val="0"/>
        <w:autoSpaceDE/>
        <w:autoSpaceDN/>
        <w:bidi w:val="0"/>
        <w:adjustRightInd/>
        <w:snapToGrid/>
        <w:spacing w:line="360" w:lineRule="auto"/>
        <w:ind w:left="630" w:leftChars="0"/>
        <w:textAlignment w:val="auto"/>
        <w:outlineLvl w:val="0"/>
        <w:rPr>
          <w:rFonts w:hint="eastAsia" w:ascii="黑体" w:hAnsi="黑体" w:eastAsia="黑体" w:cs="黑体"/>
          <w:b w:val="0"/>
          <w:bCs/>
          <w:sz w:val="28"/>
          <w:szCs w:val="28"/>
          <w:highlight w:val="none"/>
          <w:lang w:val="en-US" w:eastAsia="zh-CN"/>
        </w:rPr>
      </w:pPr>
      <w:bookmarkStart w:id="59" w:name="_Toc4677"/>
      <w:r>
        <w:rPr>
          <w:rFonts w:hint="eastAsia" w:ascii="黑体" w:hAnsi="黑体" w:eastAsia="黑体" w:cs="黑体"/>
          <w:b w:val="0"/>
          <w:bCs/>
          <w:sz w:val="28"/>
          <w:szCs w:val="28"/>
          <w:highlight w:val="none"/>
          <w:lang w:val="en-US" w:eastAsia="zh-CN"/>
        </w:rPr>
        <w:t>五、有关建议</w:t>
      </w:r>
      <w:bookmarkEnd w:id="59"/>
    </w:p>
    <w:p>
      <w:pPr>
        <w:pStyle w:val="5"/>
        <w:bidi w:val="0"/>
        <w:rPr>
          <w:rFonts w:hint="eastAsia"/>
        </w:rPr>
      </w:pPr>
      <w:bookmarkStart w:id="60" w:name="_Toc24652"/>
      <w:r>
        <w:rPr>
          <w:rFonts w:hint="eastAsia"/>
          <w:lang w:eastAsia="zh-CN"/>
        </w:rPr>
        <w:t>（</w:t>
      </w:r>
      <w:r>
        <w:rPr>
          <w:rFonts w:hint="eastAsia"/>
          <w:lang w:val="en-US" w:eastAsia="zh-CN"/>
        </w:rPr>
        <w:t>一</w:t>
      </w:r>
      <w:r>
        <w:rPr>
          <w:rFonts w:hint="eastAsia"/>
          <w:lang w:eastAsia="zh-CN"/>
        </w:rPr>
        <w:t>）</w:t>
      </w:r>
      <w:r>
        <w:rPr>
          <w:rFonts w:hint="eastAsia"/>
        </w:rPr>
        <w:t>完整预算绩效管理，细化编制绩效目标。</w:t>
      </w:r>
      <w:bookmarkEnd w:id="60"/>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b w:val="0"/>
          <w:bCs w:val="0"/>
          <w:sz w:val="28"/>
          <w:szCs w:val="24"/>
          <w:highlight w:val="none"/>
        </w:rPr>
      </w:pPr>
      <w:r>
        <w:rPr>
          <w:rFonts w:hint="eastAsia" w:ascii="仿宋_GB2312" w:hAnsi="仿宋_GB2312" w:eastAsia="仿宋_GB2312" w:cs="仿宋_GB2312"/>
          <w:b w:val="0"/>
          <w:bCs w:val="0"/>
          <w:sz w:val="28"/>
          <w:szCs w:val="24"/>
          <w:highlight w:val="none"/>
        </w:rPr>
        <w:t>进一步强化“预算编制有目标、预算执行有监控、预算完成有评价、评价结果有反馈、反馈结果有应用”的预算绩效管理机制，建议项目建设单位，在项目实施前，首先确立项目建设的绩效目标，并将绩效目标细化、量化，设置具体的、可度量的经济、社会效益指标，针对一些实施时间跨度较长的项目要制定阶段性绩效目标，针对性地开展项目中期和后期项目自评价。</w:t>
      </w:r>
    </w:p>
    <w:p>
      <w:pPr>
        <w:pStyle w:val="5"/>
        <w:bidi w:val="0"/>
        <w:rPr>
          <w:rFonts w:hint="eastAsia"/>
        </w:rPr>
      </w:pPr>
      <w:bookmarkStart w:id="61" w:name="_Toc10981"/>
      <w:r>
        <w:rPr>
          <w:rFonts w:hint="eastAsia"/>
          <w:lang w:eastAsia="zh-CN"/>
        </w:rPr>
        <w:t>（</w:t>
      </w:r>
      <w:r>
        <w:rPr>
          <w:rFonts w:hint="eastAsia"/>
          <w:lang w:val="en-US" w:eastAsia="zh-CN"/>
        </w:rPr>
        <w:t>二</w:t>
      </w:r>
      <w:r>
        <w:rPr>
          <w:rFonts w:hint="eastAsia"/>
          <w:lang w:eastAsia="zh-CN"/>
        </w:rPr>
        <w:t>）</w:t>
      </w:r>
      <w:r>
        <w:rPr>
          <w:rFonts w:hint="eastAsia"/>
        </w:rPr>
        <w:t>强化项目前期指导，严把项目可行性编制。</w:t>
      </w:r>
      <w:bookmarkEnd w:id="61"/>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b w:val="0"/>
          <w:bCs w:val="0"/>
          <w:sz w:val="28"/>
          <w:szCs w:val="24"/>
          <w:highlight w:val="none"/>
        </w:rPr>
      </w:pPr>
      <w:r>
        <w:rPr>
          <w:rFonts w:hint="eastAsia" w:ascii="仿宋_GB2312" w:hAnsi="仿宋_GB2312" w:eastAsia="仿宋_GB2312" w:cs="仿宋_GB2312"/>
          <w:b w:val="0"/>
          <w:bCs w:val="0"/>
          <w:sz w:val="28"/>
          <w:szCs w:val="24"/>
          <w:highlight w:val="none"/>
        </w:rPr>
        <w:t>建议实施部门在项目组织开展前期，加强项目的可行性、必要性论证指导工作，进一步提升建设项目决策和实施的科学性，确保各项经济指标顺利完成。</w:t>
      </w:r>
    </w:p>
    <w:p>
      <w:pPr>
        <w:pStyle w:val="5"/>
        <w:bidi w:val="0"/>
        <w:rPr>
          <w:rFonts w:hint="eastAsia" w:ascii="仿宋_GB2312" w:hAnsi="仿宋_GB2312" w:eastAsia="仿宋_GB2312" w:cs="仿宋_GB2312"/>
          <w:b/>
          <w:bCs/>
          <w:szCs w:val="24"/>
          <w:highlight w:val="none"/>
        </w:rPr>
      </w:pPr>
      <w:bookmarkStart w:id="62" w:name="_Toc3835"/>
      <w:r>
        <w:rPr>
          <w:rFonts w:hint="eastAsia"/>
          <w:lang w:eastAsia="zh-CN"/>
        </w:rPr>
        <w:t>（</w:t>
      </w:r>
      <w:r>
        <w:rPr>
          <w:rFonts w:hint="eastAsia"/>
          <w:lang w:val="en-US" w:eastAsia="zh-CN"/>
        </w:rPr>
        <w:t>三</w:t>
      </w:r>
      <w:r>
        <w:rPr>
          <w:rFonts w:hint="eastAsia"/>
          <w:lang w:eastAsia="zh-CN"/>
        </w:rPr>
        <w:t>）</w:t>
      </w:r>
      <w:r>
        <w:rPr>
          <w:rFonts w:hint="eastAsia"/>
        </w:rPr>
        <w:t>做好项目计划安排，确保项目按计划完成。</w:t>
      </w:r>
      <w:bookmarkEnd w:id="62"/>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default" w:ascii="仿宋_GB2312" w:hAnsi="仿宋_GB2312" w:eastAsia="仿宋_GB2312" w:cs="仿宋_GB2312"/>
          <w:sz w:val="28"/>
          <w:szCs w:val="24"/>
          <w:lang w:val="en-US" w:eastAsia="zh-CN"/>
        </w:rPr>
      </w:pPr>
      <w:r>
        <w:rPr>
          <w:rFonts w:hint="eastAsia" w:ascii="仿宋_GB2312" w:hAnsi="仿宋_GB2312" w:eastAsia="仿宋_GB2312" w:cs="仿宋_GB2312"/>
          <w:b w:val="0"/>
          <w:bCs w:val="0"/>
          <w:sz w:val="28"/>
          <w:szCs w:val="24"/>
          <w:highlight w:val="none"/>
        </w:rPr>
        <w:t>建议后续类似工程认真编写切实可行的工程总进度计划，计划安排做到周到、合理、科学，确保各项工作落实到人，做好各相关单位的接口协调工作，尽量减少施工进度受其他各种外部因素影响，确保项目能够在规定的</w:t>
      </w:r>
      <w:r>
        <w:rPr>
          <w:rFonts w:hint="eastAsia" w:ascii="仿宋_GB2312" w:hAnsi="仿宋_GB2312" w:eastAsia="仿宋_GB2312" w:cs="仿宋_GB2312"/>
          <w:b w:val="0"/>
          <w:bCs w:val="0"/>
          <w:sz w:val="28"/>
          <w:szCs w:val="24"/>
          <w:highlight w:val="none"/>
          <w:lang w:eastAsia="zh-CN"/>
        </w:rPr>
        <w:t>工期</w:t>
      </w:r>
      <w:r>
        <w:rPr>
          <w:rFonts w:hint="eastAsia" w:ascii="仿宋_GB2312" w:hAnsi="仿宋_GB2312" w:eastAsia="仿宋_GB2312" w:cs="仿宋_GB2312"/>
          <w:b w:val="0"/>
          <w:bCs w:val="0"/>
          <w:sz w:val="28"/>
          <w:szCs w:val="24"/>
          <w:highlight w:val="none"/>
        </w:rPr>
        <w:t>内完成所有工作，实现项目目标。</w:t>
      </w:r>
      <w:bookmarkEnd w:id="53"/>
      <w:bookmarkEnd w:id="54"/>
      <w:bookmarkEnd w:id="55"/>
      <w:bookmarkEnd w:id="56"/>
    </w:p>
    <w:sectPr>
      <w:headerReference r:id="rId5" w:type="default"/>
      <w:footerReference r:id="rId6" w:type="default"/>
      <w:pgSz w:w="11911" w:h="16838"/>
      <w:pgMar w:top="2041" w:right="1417" w:bottom="1417" w:left="1531" w:header="850" w:footer="850" w:gutter="0"/>
      <w:pgBorders>
        <w:top w:val="none" w:sz="0" w:space="0"/>
        <w:left w:val="none" w:sz="0" w:space="0"/>
        <w:bottom w:val="none" w:sz="0" w:space="0"/>
        <w:right w:val="none" w:sz="0" w:space="0"/>
      </w:pgBorders>
      <w:pgNumType w:fmt="decimal" w:start="1"/>
      <w:cols w:space="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CBA79B71-DDB1-444A-8A3D-268E8EE7E334}"/>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B50DB7BB-BDBA-4D27-9E4E-B5F252D496F7}"/>
  </w:font>
  <w:font w:name="仿宋_GB2312">
    <w:panose1 w:val="02010609030101010101"/>
    <w:charset w:val="86"/>
    <w:family w:val="modern"/>
    <w:pitch w:val="default"/>
    <w:sig w:usb0="00000001" w:usb1="080E0000" w:usb2="00000000" w:usb3="00000000" w:csb0="00040000" w:csb1="00000000"/>
    <w:embedRegular r:id="rId3" w:fontKey="{A3F3E356-EA61-43D0-A3A0-ED7D8AA91F42}"/>
  </w:font>
  <w:font w:name="楷体">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embedRegular r:id="rId4" w:fontKey="{78A965BE-5C54-4E87-AB3E-6DA4C402C481}"/>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embedRegular r:id="rId5" w:fontKey="{FFD24153-29E7-4553-A5D3-3A83864F28EE}"/>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tabs>
        <w:tab w:val="left" w:pos="366"/>
        <w:tab w:val="clear" w:pos="4153"/>
      </w:tabs>
      <w:jc w:val="both"/>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tabs>
        <w:tab w:val="left" w:pos="3953"/>
        <w:tab w:val="clear" w:pos="4153"/>
      </w:tabs>
      <w:jc w:val="both"/>
      <w:rPr>
        <w:rFonts w:hint="eastAsia" w:eastAsia="仿宋_GB2312"/>
        <w:lang w:eastAsia="zh-CN"/>
      </w:rPr>
    </w:pPr>
    <w:r>
      <w:rPr>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8"/>
                            <w:rPr>
                              <w:rFonts w:hint="eastAsia" w:ascii="仿宋_GB2312" w:hAnsi="仿宋_GB2312" w:eastAsia="仿宋_GB2312" w:cs="仿宋_GB2312"/>
                              <w:sz w:val="24"/>
                              <w:szCs w:val="18"/>
                            </w:rPr>
                          </w:pPr>
                          <w:r>
                            <w:rPr>
                              <w:rFonts w:hint="eastAsia" w:ascii="仿宋_GB2312" w:hAnsi="仿宋_GB2312" w:eastAsia="仿宋_GB2312" w:cs="仿宋_GB2312"/>
                              <w:sz w:val="24"/>
                              <w:szCs w:val="18"/>
                            </w:rPr>
                            <w:fldChar w:fldCharType="begin"/>
                          </w:r>
                          <w:r>
                            <w:rPr>
                              <w:rFonts w:hint="eastAsia" w:ascii="仿宋_GB2312" w:hAnsi="仿宋_GB2312" w:eastAsia="仿宋_GB2312" w:cs="仿宋_GB2312"/>
                              <w:sz w:val="24"/>
                              <w:szCs w:val="18"/>
                            </w:rPr>
                            <w:instrText xml:space="preserve"> PAGE  \* MERGEFORMAT </w:instrText>
                          </w:r>
                          <w:r>
                            <w:rPr>
                              <w:rFonts w:hint="eastAsia" w:ascii="仿宋_GB2312" w:hAnsi="仿宋_GB2312" w:eastAsia="仿宋_GB2312" w:cs="仿宋_GB2312"/>
                              <w:sz w:val="24"/>
                              <w:szCs w:val="18"/>
                            </w:rPr>
                            <w:fldChar w:fldCharType="separate"/>
                          </w:r>
                          <w:r>
                            <w:rPr>
                              <w:rFonts w:hint="eastAsia" w:ascii="仿宋_GB2312" w:hAnsi="仿宋_GB2312" w:eastAsia="仿宋_GB2312" w:cs="仿宋_GB2312"/>
                              <w:sz w:val="24"/>
                              <w:szCs w:val="18"/>
                            </w:rPr>
                            <w:t>2</w:t>
                          </w:r>
                          <w:r>
                            <w:rPr>
                              <w:rFonts w:hint="eastAsia" w:ascii="仿宋_GB2312" w:hAnsi="仿宋_GB2312" w:eastAsia="仿宋_GB2312" w:cs="仿宋_GB2312"/>
                              <w:sz w:val="24"/>
                              <w:szCs w:val="1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fyKa93AIAACQGAAAOAAAAAAAAAAEAIAAAAB8BAABkcnMvZTJvRG9jLnhtbFBLBQYA&#10;AAAABgAGAFkBAABtBgAAAAA=&#10;">
              <v:fill on="f" focussize="0,0"/>
              <v:stroke on="f" weight="0.5pt"/>
              <v:imagedata o:title=""/>
              <o:lock v:ext="edit" aspectratio="f"/>
              <v:textbox inset="0mm,0mm,0mm,0mm" style="mso-fit-shape-to-text:t;">
                <w:txbxContent>
                  <w:p>
                    <w:pPr>
                      <w:pStyle w:val="8"/>
                      <w:rPr>
                        <w:rFonts w:hint="eastAsia" w:ascii="仿宋_GB2312" w:hAnsi="仿宋_GB2312" w:eastAsia="仿宋_GB2312" w:cs="仿宋_GB2312"/>
                        <w:sz w:val="24"/>
                        <w:szCs w:val="18"/>
                      </w:rPr>
                    </w:pPr>
                    <w:r>
                      <w:rPr>
                        <w:rFonts w:hint="eastAsia" w:ascii="仿宋_GB2312" w:hAnsi="仿宋_GB2312" w:eastAsia="仿宋_GB2312" w:cs="仿宋_GB2312"/>
                        <w:sz w:val="24"/>
                        <w:szCs w:val="18"/>
                      </w:rPr>
                      <w:fldChar w:fldCharType="begin"/>
                    </w:r>
                    <w:r>
                      <w:rPr>
                        <w:rFonts w:hint="eastAsia" w:ascii="仿宋_GB2312" w:hAnsi="仿宋_GB2312" w:eastAsia="仿宋_GB2312" w:cs="仿宋_GB2312"/>
                        <w:sz w:val="24"/>
                        <w:szCs w:val="18"/>
                      </w:rPr>
                      <w:instrText xml:space="preserve"> PAGE  \* MERGEFORMAT </w:instrText>
                    </w:r>
                    <w:r>
                      <w:rPr>
                        <w:rFonts w:hint="eastAsia" w:ascii="仿宋_GB2312" w:hAnsi="仿宋_GB2312" w:eastAsia="仿宋_GB2312" w:cs="仿宋_GB2312"/>
                        <w:sz w:val="24"/>
                        <w:szCs w:val="18"/>
                      </w:rPr>
                      <w:fldChar w:fldCharType="separate"/>
                    </w:r>
                    <w:r>
                      <w:rPr>
                        <w:rFonts w:hint="eastAsia" w:ascii="仿宋_GB2312" w:hAnsi="仿宋_GB2312" w:eastAsia="仿宋_GB2312" w:cs="仿宋_GB2312"/>
                        <w:sz w:val="24"/>
                        <w:szCs w:val="18"/>
                      </w:rPr>
                      <w:t>2</w:t>
                    </w:r>
                    <w:r>
                      <w:rPr>
                        <w:rFonts w:hint="eastAsia" w:ascii="仿宋_GB2312" w:hAnsi="仿宋_GB2312" w:eastAsia="仿宋_GB2312" w:cs="仿宋_GB2312"/>
                        <w:sz w:val="24"/>
                        <w:szCs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single" w:color="auto" w:sz="4" w:space="1"/>
      </w:pBdr>
      <w:jc w:val="center"/>
      <w:rPr>
        <w:rFonts w:hint="eastAsia" w:ascii="宋体" w:hAnsi="宋体" w:eastAsia="宋体" w:cs="宋体"/>
        <w:sz w:val="11"/>
        <w:szCs w:val="13"/>
      </w:rPr>
    </w:pPr>
    <w:r>
      <w:rPr>
        <w:rFonts w:hint="eastAsia" w:ascii="宋体" w:hAnsi="宋体" w:cs="宋体"/>
        <w:b w:val="0"/>
        <w:bCs w:val="0"/>
        <w:kern w:val="2"/>
        <w:sz w:val="28"/>
        <w:szCs w:val="28"/>
        <w:highlight w:val="none"/>
        <w:lang w:val="en-US" w:eastAsia="zh-CN" w:bidi="ar-SA"/>
      </w:rPr>
      <w:t>宁武县</w:t>
    </w:r>
    <w:r>
      <w:rPr>
        <w:rFonts w:hint="eastAsia" w:ascii="宋体" w:hAnsi="宋体" w:eastAsia="宋体" w:cs="宋体"/>
        <w:b w:val="0"/>
        <w:bCs w:val="0"/>
        <w:kern w:val="2"/>
        <w:sz w:val="28"/>
        <w:szCs w:val="28"/>
        <w:highlight w:val="none"/>
        <w:lang w:val="en-US" w:eastAsia="zh-CN" w:bidi="ar-SA"/>
      </w:rPr>
      <w:t>憨山文化旅游区建设项目专项债券资金绩效评价报告</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single" w:color="auto" w:sz="4" w:space="1"/>
      </w:pBdr>
      <w:jc w:val="both"/>
      <w:rPr>
        <w:rFonts w:hint="eastAsia" w:eastAsia="宋体"/>
        <w:lang w:eastAsia="zh-CN"/>
      </w:rPr>
    </w:pPr>
    <w:r>
      <w:drawing>
        <wp:inline distT="0" distB="0" distL="114300" distR="114300">
          <wp:extent cx="240665" cy="240665"/>
          <wp:effectExtent l="0" t="0" r="6985" b="698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
                  <a:stretch>
                    <a:fillRect/>
                  </a:stretch>
                </pic:blipFill>
                <pic:spPr>
                  <a:xfrm>
                    <a:off x="0" y="0"/>
                    <a:ext cx="240665" cy="240665"/>
                  </a:xfrm>
                  <a:prstGeom prst="rect">
                    <a:avLst/>
                  </a:prstGeom>
                  <a:noFill/>
                  <a:ln>
                    <a:noFill/>
                  </a:ln>
                </pic:spPr>
              </pic:pic>
            </a:graphicData>
          </a:graphic>
        </wp:inline>
      </w:drawing>
    </w:r>
    <w:r>
      <w:rPr>
        <w:rFonts w:hint="eastAsia" w:ascii="Times New Roman" w:eastAsia="宋体"/>
        <w:sz w:val="22"/>
        <w:szCs w:val="22"/>
        <w:lang w:val="en-US" w:eastAsia="zh-CN"/>
      </w:rPr>
      <w:t xml:space="preserve">山西亚泰 </w:t>
    </w:r>
    <w:r>
      <w:rPr>
        <w:rFonts w:hint="eastAsia"/>
        <w:sz w:val="22"/>
        <w:szCs w:val="22"/>
        <w:lang w:val="en-US" w:eastAsia="zh-CN"/>
      </w:rPr>
      <w:t xml:space="preserve">               </w:t>
    </w:r>
    <w:r>
      <w:rPr>
        <w:rFonts w:hint="eastAsia" w:ascii="宋体" w:hAnsi="宋体" w:eastAsia="宋体" w:cs="宋体"/>
        <w:sz w:val="22"/>
        <w:szCs w:val="22"/>
        <w:lang w:eastAsia="zh-CN"/>
      </w:rPr>
      <w:t>宁武县文化和旅游局2020年统筹整合财政资金绩效评价报告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TrueTypeFonts/>
  <w:saveSubsetFonts/>
  <w:bordersDoNotSurroundHeader w:val="0"/>
  <w:bordersDoNotSurroundFooter w:val="0"/>
  <w:documentProtection w:enforcement="0"/>
  <w:defaultTabStop w:val="420"/>
  <w:drawingGridHorizontalSpacing w:val="210"/>
  <w:drawingGridVerticalSpacing w:val="99999990"/>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M1YWI2YjM3YmMyM2M2N2Q3ZDhhNjM1NzA1NDMxOGUifQ=="/>
  </w:docVars>
  <w:rsids>
    <w:rsidRoot w:val="00000000"/>
    <w:rsid w:val="00246EF0"/>
    <w:rsid w:val="00653CDE"/>
    <w:rsid w:val="00C0149B"/>
    <w:rsid w:val="010F13DA"/>
    <w:rsid w:val="015F6683"/>
    <w:rsid w:val="0160113D"/>
    <w:rsid w:val="017462E3"/>
    <w:rsid w:val="018D0A14"/>
    <w:rsid w:val="01B259B0"/>
    <w:rsid w:val="020F624C"/>
    <w:rsid w:val="02672E09"/>
    <w:rsid w:val="02E86F48"/>
    <w:rsid w:val="03450A06"/>
    <w:rsid w:val="036B66F9"/>
    <w:rsid w:val="036F0FCE"/>
    <w:rsid w:val="037D56E8"/>
    <w:rsid w:val="042132A9"/>
    <w:rsid w:val="04316A77"/>
    <w:rsid w:val="044F2DCD"/>
    <w:rsid w:val="044F5E40"/>
    <w:rsid w:val="04682390"/>
    <w:rsid w:val="04940161"/>
    <w:rsid w:val="049C734A"/>
    <w:rsid w:val="04B83CB5"/>
    <w:rsid w:val="04F40887"/>
    <w:rsid w:val="04FA4C69"/>
    <w:rsid w:val="05064E14"/>
    <w:rsid w:val="05482261"/>
    <w:rsid w:val="05900246"/>
    <w:rsid w:val="059F184E"/>
    <w:rsid w:val="05A062E6"/>
    <w:rsid w:val="05E41936"/>
    <w:rsid w:val="061A0AA7"/>
    <w:rsid w:val="06252649"/>
    <w:rsid w:val="06443ABA"/>
    <w:rsid w:val="06661E4B"/>
    <w:rsid w:val="069E21FF"/>
    <w:rsid w:val="06AB50CD"/>
    <w:rsid w:val="06C278B5"/>
    <w:rsid w:val="06C37432"/>
    <w:rsid w:val="06C86505"/>
    <w:rsid w:val="06CA200B"/>
    <w:rsid w:val="07457DDF"/>
    <w:rsid w:val="0757600D"/>
    <w:rsid w:val="07964E36"/>
    <w:rsid w:val="07F12B74"/>
    <w:rsid w:val="08072CDA"/>
    <w:rsid w:val="0826496B"/>
    <w:rsid w:val="083F373E"/>
    <w:rsid w:val="08403A8C"/>
    <w:rsid w:val="085B26B6"/>
    <w:rsid w:val="08A34F1E"/>
    <w:rsid w:val="08B33834"/>
    <w:rsid w:val="08C955D6"/>
    <w:rsid w:val="09F051DE"/>
    <w:rsid w:val="0A4E0DAF"/>
    <w:rsid w:val="0A690911"/>
    <w:rsid w:val="0A8100D3"/>
    <w:rsid w:val="0A8C5F59"/>
    <w:rsid w:val="0AA65BB5"/>
    <w:rsid w:val="0AAE1C2E"/>
    <w:rsid w:val="0B48794A"/>
    <w:rsid w:val="0B771A0B"/>
    <w:rsid w:val="0B862C8B"/>
    <w:rsid w:val="0BD13DB0"/>
    <w:rsid w:val="0BFC2064"/>
    <w:rsid w:val="0C6721EB"/>
    <w:rsid w:val="0C676F35"/>
    <w:rsid w:val="0D094EED"/>
    <w:rsid w:val="0D0A3112"/>
    <w:rsid w:val="0D1F6517"/>
    <w:rsid w:val="0D473EC1"/>
    <w:rsid w:val="0D911DEA"/>
    <w:rsid w:val="0D93799B"/>
    <w:rsid w:val="0D987441"/>
    <w:rsid w:val="0D9F1060"/>
    <w:rsid w:val="0DE47F30"/>
    <w:rsid w:val="0DE52488"/>
    <w:rsid w:val="0E2165EE"/>
    <w:rsid w:val="0E684E58"/>
    <w:rsid w:val="0E905A81"/>
    <w:rsid w:val="0EC63BEA"/>
    <w:rsid w:val="0F224CA1"/>
    <w:rsid w:val="0F2C239B"/>
    <w:rsid w:val="0F34670C"/>
    <w:rsid w:val="0F4D630E"/>
    <w:rsid w:val="0F5B496A"/>
    <w:rsid w:val="0F862670"/>
    <w:rsid w:val="0FA84A88"/>
    <w:rsid w:val="10103B27"/>
    <w:rsid w:val="102F3E2A"/>
    <w:rsid w:val="1077496E"/>
    <w:rsid w:val="10A63705"/>
    <w:rsid w:val="10F909FE"/>
    <w:rsid w:val="11AB45FA"/>
    <w:rsid w:val="11DB7043"/>
    <w:rsid w:val="11E92D55"/>
    <w:rsid w:val="11ED5D13"/>
    <w:rsid w:val="11F027C9"/>
    <w:rsid w:val="124F0B95"/>
    <w:rsid w:val="128D0D77"/>
    <w:rsid w:val="12A90622"/>
    <w:rsid w:val="13012150"/>
    <w:rsid w:val="135F34F1"/>
    <w:rsid w:val="138163BF"/>
    <w:rsid w:val="141C25F4"/>
    <w:rsid w:val="141F79FA"/>
    <w:rsid w:val="14903C6A"/>
    <w:rsid w:val="14AF0BF5"/>
    <w:rsid w:val="14BE3259"/>
    <w:rsid w:val="15D56B32"/>
    <w:rsid w:val="16B676B5"/>
    <w:rsid w:val="16DD488E"/>
    <w:rsid w:val="16E817E5"/>
    <w:rsid w:val="1713195E"/>
    <w:rsid w:val="17235714"/>
    <w:rsid w:val="174B72A1"/>
    <w:rsid w:val="177E3A2C"/>
    <w:rsid w:val="17822BE1"/>
    <w:rsid w:val="179F183D"/>
    <w:rsid w:val="18131E76"/>
    <w:rsid w:val="181D66D0"/>
    <w:rsid w:val="18351C95"/>
    <w:rsid w:val="183A57F5"/>
    <w:rsid w:val="183D2E88"/>
    <w:rsid w:val="18DF6BB8"/>
    <w:rsid w:val="19084C2B"/>
    <w:rsid w:val="196B4FEA"/>
    <w:rsid w:val="1976136B"/>
    <w:rsid w:val="19E44B19"/>
    <w:rsid w:val="1A321DAF"/>
    <w:rsid w:val="1A3B7156"/>
    <w:rsid w:val="1A6C64E5"/>
    <w:rsid w:val="1ACB5FC2"/>
    <w:rsid w:val="1B417486"/>
    <w:rsid w:val="1B924E5C"/>
    <w:rsid w:val="1BD768CE"/>
    <w:rsid w:val="1BF85BDC"/>
    <w:rsid w:val="1C1F269C"/>
    <w:rsid w:val="1C922BC7"/>
    <w:rsid w:val="1CA20156"/>
    <w:rsid w:val="1D08662C"/>
    <w:rsid w:val="1D711D29"/>
    <w:rsid w:val="1D9531D6"/>
    <w:rsid w:val="1E062F19"/>
    <w:rsid w:val="1E6F0FFE"/>
    <w:rsid w:val="1EAF2B12"/>
    <w:rsid w:val="1ED50649"/>
    <w:rsid w:val="1F2C1918"/>
    <w:rsid w:val="1F3F2198"/>
    <w:rsid w:val="1F463920"/>
    <w:rsid w:val="1F49146B"/>
    <w:rsid w:val="1F537EF6"/>
    <w:rsid w:val="1F706F64"/>
    <w:rsid w:val="1F884AD0"/>
    <w:rsid w:val="1F8F2B9F"/>
    <w:rsid w:val="1FA85EA8"/>
    <w:rsid w:val="1FFD5356"/>
    <w:rsid w:val="2009179E"/>
    <w:rsid w:val="20365F63"/>
    <w:rsid w:val="20F4206A"/>
    <w:rsid w:val="217337FA"/>
    <w:rsid w:val="21891A96"/>
    <w:rsid w:val="21F42EC2"/>
    <w:rsid w:val="21FE13B0"/>
    <w:rsid w:val="221D689F"/>
    <w:rsid w:val="22677161"/>
    <w:rsid w:val="22F10EAE"/>
    <w:rsid w:val="230A05D5"/>
    <w:rsid w:val="230E1308"/>
    <w:rsid w:val="23E26A49"/>
    <w:rsid w:val="23EB1E59"/>
    <w:rsid w:val="23ED6F01"/>
    <w:rsid w:val="241A1CE7"/>
    <w:rsid w:val="24AC7663"/>
    <w:rsid w:val="24BC54EC"/>
    <w:rsid w:val="24DC1DFD"/>
    <w:rsid w:val="24DF6B42"/>
    <w:rsid w:val="250F32B3"/>
    <w:rsid w:val="25716DA9"/>
    <w:rsid w:val="25953AF0"/>
    <w:rsid w:val="25D32377"/>
    <w:rsid w:val="25E17D6A"/>
    <w:rsid w:val="26063C94"/>
    <w:rsid w:val="26A2738E"/>
    <w:rsid w:val="26B11A76"/>
    <w:rsid w:val="26FC4128"/>
    <w:rsid w:val="2719297B"/>
    <w:rsid w:val="271B131E"/>
    <w:rsid w:val="274D2868"/>
    <w:rsid w:val="275B3E44"/>
    <w:rsid w:val="27666C9E"/>
    <w:rsid w:val="278505B3"/>
    <w:rsid w:val="279F112C"/>
    <w:rsid w:val="27B5645B"/>
    <w:rsid w:val="283F0101"/>
    <w:rsid w:val="284F71B6"/>
    <w:rsid w:val="28747418"/>
    <w:rsid w:val="28F27731"/>
    <w:rsid w:val="29183639"/>
    <w:rsid w:val="29A45F8F"/>
    <w:rsid w:val="2AB23DBF"/>
    <w:rsid w:val="2ACC1C69"/>
    <w:rsid w:val="2AD431C6"/>
    <w:rsid w:val="2B0D2802"/>
    <w:rsid w:val="2B210E11"/>
    <w:rsid w:val="2B2328F6"/>
    <w:rsid w:val="2B2B1D63"/>
    <w:rsid w:val="2B307DC0"/>
    <w:rsid w:val="2B3307D7"/>
    <w:rsid w:val="2BD870AF"/>
    <w:rsid w:val="2C01233B"/>
    <w:rsid w:val="2C0C4A3C"/>
    <w:rsid w:val="2C2A71DF"/>
    <w:rsid w:val="2C581D7B"/>
    <w:rsid w:val="2C752AC0"/>
    <w:rsid w:val="2C9050A1"/>
    <w:rsid w:val="2CC05B91"/>
    <w:rsid w:val="2CD51841"/>
    <w:rsid w:val="2D4F436C"/>
    <w:rsid w:val="2D4F4883"/>
    <w:rsid w:val="2D8443B0"/>
    <w:rsid w:val="2E444588"/>
    <w:rsid w:val="2E7A00C1"/>
    <w:rsid w:val="2E7F6C5B"/>
    <w:rsid w:val="2ECB7445"/>
    <w:rsid w:val="2F035339"/>
    <w:rsid w:val="2F1E302B"/>
    <w:rsid w:val="2F51104D"/>
    <w:rsid w:val="2FB030F4"/>
    <w:rsid w:val="2FB23268"/>
    <w:rsid w:val="2FD82376"/>
    <w:rsid w:val="2FE14807"/>
    <w:rsid w:val="2FF3486D"/>
    <w:rsid w:val="3000692D"/>
    <w:rsid w:val="300800D8"/>
    <w:rsid w:val="301B1198"/>
    <w:rsid w:val="308F1881"/>
    <w:rsid w:val="30AC2660"/>
    <w:rsid w:val="3116037B"/>
    <w:rsid w:val="311A2869"/>
    <w:rsid w:val="31A5501E"/>
    <w:rsid w:val="31F45F35"/>
    <w:rsid w:val="323C6FFC"/>
    <w:rsid w:val="32496611"/>
    <w:rsid w:val="324E1E79"/>
    <w:rsid w:val="326301C0"/>
    <w:rsid w:val="32BF2B1B"/>
    <w:rsid w:val="33130954"/>
    <w:rsid w:val="331905B1"/>
    <w:rsid w:val="33AF4C97"/>
    <w:rsid w:val="33BC59E4"/>
    <w:rsid w:val="33DD1619"/>
    <w:rsid w:val="341B4D8B"/>
    <w:rsid w:val="342D0FC2"/>
    <w:rsid w:val="343116C4"/>
    <w:rsid w:val="344338A0"/>
    <w:rsid w:val="34796B62"/>
    <w:rsid w:val="34A50A92"/>
    <w:rsid w:val="34C07BFD"/>
    <w:rsid w:val="355F5268"/>
    <w:rsid w:val="356767E8"/>
    <w:rsid w:val="35983BE6"/>
    <w:rsid w:val="35FD07CA"/>
    <w:rsid w:val="35FD7AE6"/>
    <w:rsid w:val="36145C28"/>
    <w:rsid w:val="36373331"/>
    <w:rsid w:val="36495117"/>
    <w:rsid w:val="364E3A0B"/>
    <w:rsid w:val="3683401A"/>
    <w:rsid w:val="36A07445"/>
    <w:rsid w:val="36AE4404"/>
    <w:rsid w:val="36ED2000"/>
    <w:rsid w:val="36FF539E"/>
    <w:rsid w:val="371D2B48"/>
    <w:rsid w:val="37635F90"/>
    <w:rsid w:val="37B92A7F"/>
    <w:rsid w:val="37DC3BE5"/>
    <w:rsid w:val="38B61401"/>
    <w:rsid w:val="39BF4046"/>
    <w:rsid w:val="39D05723"/>
    <w:rsid w:val="39D50231"/>
    <w:rsid w:val="3A274FA3"/>
    <w:rsid w:val="3AA13190"/>
    <w:rsid w:val="3AC01F86"/>
    <w:rsid w:val="3B00085C"/>
    <w:rsid w:val="3B0F5F1E"/>
    <w:rsid w:val="3B655A17"/>
    <w:rsid w:val="3BE006B9"/>
    <w:rsid w:val="3BED295D"/>
    <w:rsid w:val="3BFB5D23"/>
    <w:rsid w:val="3C145EE2"/>
    <w:rsid w:val="3C350F0C"/>
    <w:rsid w:val="3C37493A"/>
    <w:rsid w:val="3C4245F1"/>
    <w:rsid w:val="3C4B69AB"/>
    <w:rsid w:val="3D3B4717"/>
    <w:rsid w:val="3D5D4A9B"/>
    <w:rsid w:val="3D89414B"/>
    <w:rsid w:val="3DEC51F4"/>
    <w:rsid w:val="3E0E1419"/>
    <w:rsid w:val="3E8F7BF8"/>
    <w:rsid w:val="3E9E00A8"/>
    <w:rsid w:val="3EE63FBA"/>
    <w:rsid w:val="3EF94825"/>
    <w:rsid w:val="3F457E2F"/>
    <w:rsid w:val="3F472C75"/>
    <w:rsid w:val="3FAB4362"/>
    <w:rsid w:val="3FF51B86"/>
    <w:rsid w:val="3FF562D1"/>
    <w:rsid w:val="40196D6B"/>
    <w:rsid w:val="402F1930"/>
    <w:rsid w:val="403218D9"/>
    <w:rsid w:val="40926A50"/>
    <w:rsid w:val="40CA61FA"/>
    <w:rsid w:val="41036525"/>
    <w:rsid w:val="41042004"/>
    <w:rsid w:val="411E6FF1"/>
    <w:rsid w:val="4141539F"/>
    <w:rsid w:val="414D46AA"/>
    <w:rsid w:val="41CE2759"/>
    <w:rsid w:val="41FD4833"/>
    <w:rsid w:val="42175A17"/>
    <w:rsid w:val="4227642D"/>
    <w:rsid w:val="423B69AE"/>
    <w:rsid w:val="42675AA6"/>
    <w:rsid w:val="42BE1E70"/>
    <w:rsid w:val="431871CE"/>
    <w:rsid w:val="431C7360"/>
    <w:rsid w:val="432F2E1D"/>
    <w:rsid w:val="435E5B79"/>
    <w:rsid w:val="438D4349"/>
    <w:rsid w:val="438E23F6"/>
    <w:rsid w:val="43A75CD9"/>
    <w:rsid w:val="43E907E5"/>
    <w:rsid w:val="43F22177"/>
    <w:rsid w:val="440B6BE1"/>
    <w:rsid w:val="440E43B7"/>
    <w:rsid w:val="441C1F56"/>
    <w:rsid w:val="443045D5"/>
    <w:rsid w:val="443A753B"/>
    <w:rsid w:val="445C1BFD"/>
    <w:rsid w:val="44F51E05"/>
    <w:rsid w:val="45287635"/>
    <w:rsid w:val="45483229"/>
    <w:rsid w:val="4596770F"/>
    <w:rsid w:val="45F4458E"/>
    <w:rsid w:val="46005C0C"/>
    <w:rsid w:val="46175D30"/>
    <w:rsid w:val="462607C1"/>
    <w:rsid w:val="466B55B8"/>
    <w:rsid w:val="466F62B8"/>
    <w:rsid w:val="46C836F9"/>
    <w:rsid w:val="46DE5691"/>
    <w:rsid w:val="47040392"/>
    <w:rsid w:val="471D5BD7"/>
    <w:rsid w:val="47320C4A"/>
    <w:rsid w:val="47775CE7"/>
    <w:rsid w:val="47993342"/>
    <w:rsid w:val="47E658B8"/>
    <w:rsid w:val="47EC7D13"/>
    <w:rsid w:val="47F67682"/>
    <w:rsid w:val="4800556C"/>
    <w:rsid w:val="482C4A32"/>
    <w:rsid w:val="4852214F"/>
    <w:rsid w:val="486420C6"/>
    <w:rsid w:val="4864483C"/>
    <w:rsid w:val="487F58CD"/>
    <w:rsid w:val="48FE03AA"/>
    <w:rsid w:val="49A571BC"/>
    <w:rsid w:val="4A080708"/>
    <w:rsid w:val="4A177C48"/>
    <w:rsid w:val="4A2C5041"/>
    <w:rsid w:val="4A697CBD"/>
    <w:rsid w:val="4A9D73C3"/>
    <w:rsid w:val="4ADD5C71"/>
    <w:rsid w:val="4B281615"/>
    <w:rsid w:val="4B301F23"/>
    <w:rsid w:val="4B326CA2"/>
    <w:rsid w:val="4C0B5B5C"/>
    <w:rsid w:val="4C3571B1"/>
    <w:rsid w:val="4C4113CF"/>
    <w:rsid w:val="4C635A6F"/>
    <w:rsid w:val="4C9616CC"/>
    <w:rsid w:val="4CC362F8"/>
    <w:rsid w:val="4CDA19A5"/>
    <w:rsid w:val="4D456349"/>
    <w:rsid w:val="4D50761B"/>
    <w:rsid w:val="4D7B4D64"/>
    <w:rsid w:val="4DDE7038"/>
    <w:rsid w:val="4DE43290"/>
    <w:rsid w:val="4DF909C4"/>
    <w:rsid w:val="4E047810"/>
    <w:rsid w:val="4E130697"/>
    <w:rsid w:val="4E61488B"/>
    <w:rsid w:val="4E9435BC"/>
    <w:rsid w:val="4EC81412"/>
    <w:rsid w:val="4F707B45"/>
    <w:rsid w:val="4FBD7124"/>
    <w:rsid w:val="4FDF1CE8"/>
    <w:rsid w:val="50023617"/>
    <w:rsid w:val="502B4168"/>
    <w:rsid w:val="50752AC4"/>
    <w:rsid w:val="50A34F34"/>
    <w:rsid w:val="50D34BE0"/>
    <w:rsid w:val="51036ECF"/>
    <w:rsid w:val="514C480E"/>
    <w:rsid w:val="515E0947"/>
    <w:rsid w:val="51825244"/>
    <w:rsid w:val="51B71DFA"/>
    <w:rsid w:val="51C81049"/>
    <w:rsid w:val="51E200E3"/>
    <w:rsid w:val="521560B8"/>
    <w:rsid w:val="52497B56"/>
    <w:rsid w:val="52737E24"/>
    <w:rsid w:val="52E04C26"/>
    <w:rsid w:val="52F54093"/>
    <w:rsid w:val="530F457F"/>
    <w:rsid w:val="536966BB"/>
    <w:rsid w:val="53A94E60"/>
    <w:rsid w:val="53D93F17"/>
    <w:rsid w:val="53E92206"/>
    <w:rsid w:val="53FA502D"/>
    <w:rsid w:val="543F418B"/>
    <w:rsid w:val="54432EFE"/>
    <w:rsid w:val="5451611C"/>
    <w:rsid w:val="5470139E"/>
    <w:rsid w:val="548E5C21"/>
    <w:rsid w:val="54A63D91"/>
    <w:rsid w:val="54E22657"/>
    <w:rsid w:val="556213E9"/>
    <w:rsid w:val="55856CD2"/>
    <w:rsid w:val="55BA2659"/>
    <w:rsid w:val="55C219DC"/>
    <w:rsid w:val="55CF7FD0"/>
    <w:rsid w:val="563A54DD"/>
    <w:rsid w:val="56593C73"/>
    <w:rsid w:val="56B206E7"/>
    <w:rsid w:val="56CC13AE"/>
    <w:rsid w:val="56D67911"/>
    <w:rsid w:val="56FF3769"/>
    <w:rsid w:val="57062473"/>
    <w:rsid w:val="572F6A71"/>
    <w:rsid w:val="5749150D"/>
    <w:rsid w:val="57492607"/>
    <w:rsid w:val="57732274"/>
    <w:rsid w:val="57921539"/>
    <w:rsid w:val="57B402B9"/>
    <w:rsid w:val="57EF36D7"/>
    <w:rsid w:val="58697BA6"/>
    <w:rsid w:val="58D26489"/>
    <w:rsid w:val="591A6074"/>
    <w:rsid w:val="596B6A9D"/>
    <w:rsid w:val="5A26382B"/>
    <w:rsid w:val="5AA4733F"/>
    <w:rsid w:val="5B234485"/>
    <w:rsid w:val="5B3B5BDE"/>
    <w:rsid w:val="5C0E25BF"/>
    <w:rsid w:val="5C4734B1"/>
    <w:rsid w:val="5C5456C3"/>
    <w:rsid w:val="5CBB4034"/>
    <w:rsid w:val="5CDB0E6B"/>
    <w:rsid w:val="5CE631BF"/>
    <w:rsid w:val="5D0D43BC"/>
    <w:rsid w:val="5D163F11"/>
    <w:rsid w:val="5D177188"/>
    <w:rsid w:val="5D1C2761"/>
    <w:rsid w:val="5D235D0A"/>
    <w:rsid w:val="5D497818"/>
    <w:rsid w:val="5D723481"/>
    <w:rsid w:val="5D775917"/>
    <w:rsid w:val="5D872306"/>
    <w:rsid w:val="5DB1737D"/>
    <w:rsid w:val="5DBE5AA8"/>
    <w:rsid w:val="5DD10A62"/>
    <w:rsid w:val="5E45307C"/>
    <w:rsid w:val="5E6468F6"/>
    <w:rsid w:val="5F0169F4"/>
    <w:rsid w:val="5F1A63D6"/>
    <w:rsid w:val="5F1F49B9"/>
    <w:rsid w:val="5F2A0B31"/>
    <w:rsid w:val="5F490414"/>
    <w:rsid w:val="5F773553"/>
    <w:rsid w:val="60052884"/>
    <w:rsid w:val="60304378"/>
    <w:rsid w:val="60640324"/>
    <w:rsid w:val="606B7596"/>
    <w:rsid w:val="60801F3D"/>
    <w:rsid w:val="60B050F2"/>
    <w:rsid w:val="611C0F8E"/>
    <w:rsid w:val="615B3F6B"/>
    <w:rsid w:val="61C243F4"/>
    <w:rsid w:val="61DD0EF6"/>
    <w:rsid w:val="628939FF"/>
    <w:rsid w:val="62906A7C"/>
    <w:rsid w:val="62B32990"/>
    <w:rsid w:val="62C53D14"/>
    <w:rsid w:val="62DB6FF4"/>
    <w:rsid w:val="62EE651E"/>
    <w:rsid w:val="634B71E1"/>
    <w:rsid w:val="6393341F"/>
    <w:rsid w:val="63A528F2"/>
    <w:rsid w:val="64021887"/>
    <w:rsid w:val="6417181C"/>
    <w:rsid w:val="643904AE"/>
    <w:rsid w:val="643920FC"/>
    <w:rsid w:val="64AA08E2"/>
    <w:rsid w:val="64B95C0C"/>
    <w:rsid w:val="651F5958"/>
    <w:rsid w:val="65217DEF"/>
    <w:rsid w:val="65387C9C"/>
    <w:rsid w:val="653F0615"/>
    <w:rsid w:val="65542218"/>
    <w:rsid w:val="65B302F4"/>
    <w:rsid w:val="65D01987"/>
    <w:rsid w:val="65E1572B"/>
    <w:rsid w:val="65F61EF7"/>
    <w:rsid w:val="660064D0"/>
    <w:rsid w:val="66801AAF"/>
    <w:rsid w:val="66AB6C03"/>
    <w:rsid w:val="67265BFD"/>
    <w:rsid w:val="67647639"/>
    <w:rsid w:val="676B45DB"/>
    <w:rsid w:val="676D68DC"/>
    <w:rsid w:val="67946564"/>
    <w:rsid w:val="67CD21E1"/>
    <w:rsid w:val="683750B9"/>
    <w:rsid w:val="68497987"/>
    <w:rsid w:val="68541290"/>
    <w:rsid w:val="68784481"/>
    <w:rsid w:val="688C0F53"/>
    <w:rsid w:val="68C157B3"/>
    <w:rsid w:val="6941503B"/>
    <w:rsid w:val="695A1E05"/>
    <w:rsid w:val="696D7934"/>
    <w:rsid w:val="69CE2A2E"/>
    <w:rsid w:val="69F7761E"/>
    <w:rsid w:val="6A4E44EE"/>
    <w:rsid w:val="6A540E21"/>
    <w:rsid w:val="6A671BFD"/>
    <w:rsid w:val="6A802FBA"/>
    <w:rsid w:val="6AB41AB0"/>
    <w:rsid w:val="6B0064EE"/>
    <w:rsid w:val="6B1C0AB8"/>
    <w:rsid w:val="6B2365B3"/>
    <w:rsid w:val="6B321631"/>
    <w:rsid w:val="6B390644"/>
    <w:rsid w:val="6B3E04B6"/>
    <w:rsid w:val="6B8523F8"/>
    <w:rsid w:val="6C0430DD"/>
    <w:rsid w:val="6C403494"/>
    <w:rsid w:val="6C916012"/>
    <w:rsid w:val="6C982969"/>
    <w:rsid w:val="6CC86A37"/>
    <w:rsid w:val="6CD16754"/>
    <w:rsid w:val="6CE61E95"/>
    <w:rsid w:val="6CF923A2"/>
    <w:rsid w:val="6D066806"/>
    <w:rsid w:val="6D191B16"/>
    <w:rsid w:val="6D332686"/>
    <w:rsid w:val="6D466607"/>
    <w:rsid w:val="6DBC5BF7"/>
    <w:rsid w:val="6DCA51C9"/>
    <w:rsid w:val="6DD552F6"/>
    <w:rsid w:val="6E3627B7"/>
    <w:rsid w:val="6E371F63"/>
    <w:rsid w:val="6E66757B"/>
    <w:rsid w:val="6E715A70"/>
    <w:rsid w:val="6E886FB3"/>
    <w:rsid w:val="6E89265D"/>
    <w:rsid w:val="6EC9405A"/>
    <w:rsid w:val="6ED46109"/>
    <w:rsid w:val="6F3A384D"/>
    <w:rsid w:val="6FB30E3E"/>
    <w:rsid w:val="6FCF5475"/>
    <w:rsid w:val="703C25EA"/>
    <w:rsid w:val="70A81F4C"/>
    <w:rsid w:val="70CC03A5"/>
    <w:rsid w:val="70EA22C8"/>
    <w:rsid w:val="712B1729"/>
    <w:rsid w:val="713A2873"/>
    <w:rsid w:val="7148395C"/>
    <w:rsid w:val="715A519C"/>
    <w:rsid w:val="71724E28"/>
    <w:rsid w:val="71B26867"/>
    <w:rsid w:val="71BE19ED"/>
    <w:rsid w:val="72814CF0"/>
    <w:rsid w:val="72BF1DBE"/>
    <w:rsid w:val="72CB22A7"/>
    <w:rsid w:val="72D245A9"/>
    <w:rsid w:val="72D31BF8"/>
    <w:rsid w:val="72ED1664"/>
    <w:rsid w:val="730D425C"/>
    <w:rsid w:val="731043A0"/>
    <w:rsid w:val="733A046A"/>
    <w:rsid w:val="73472F83"/>
    <w:rsid w:val="73810E61"/>
    <w:rsid w:val="738E1DAF"/>
    <w:rsid w:val="73AE0D27"/>
    <w:rsid w:val="74250CDE"/>
    <w:rsid w:val="74404DBF"/>
    <w:rsid w:val="74804453"/>
    <w:rsid w:val="748E1051"/>
    <w:rsid w:val="74971778"/>
    <w:rsid w:val="74E47FEA"/>
    <w:rsid w:val="752266E3"/>
    <w:rsid w:val="754B31F8"/>
    <w:rsid w:val="757346AE"/>
    <w:rsid w:val="758C693B"/>
    <w:rsid w:val="75C00598"/>
    <w:rsid w:val="75CA2F5A"/>
    <w:rsid w:val="75CB76AE"/>
    <w:rsid w:val="75E2397A"/>
    <w:rsid w:val="75F0184C"/>
    <w:rsid w:val="761C6C09"/>
    <w:rsid w:val="7639366E"/>
    <w:rsid w:val="764202AF"/>
    <w:rsid w:val="7655228B"/>
    <w:rsid w:val="76653A1B"/>
    <w:rsid w:val="766638BB"/>
    <w:rsid w:val="768E4802"/>
    <w:rsid w:val="76A01CE3"/>
    <w:rsid w:val="76CC68D6"/>
    <w:rsid w:val="77184C21"/>
    <w:rsid w:val="77413FB6"/>
    <w:rsid w:val="77602E6A"/>
    <w:rsid w:val="777C184B"/>
    <w:rsid w:val="77C7408B"/>
    <w:rsid w:val="77D5787F"/>
    <w:rsid w:val="77EC4AEF"/>
    <w:rsid w:val="77F331AE"/>
    <w:rsid w:val="78003601"/>
    <w:rsid w:val="781379EA"/>
    <w:rsid w:val="783A43D7"/>
    <w:rsid w:val="783A5987"/>
    <w:rsid w:val="78676C35"/>
    <w:rsid w:val="786B1330"/>
    <w:rsid w:val="789F0DEB"/>
    <w:rsid w:val="78A411C9"/>
    <w:rsid w:val="78B42466"/>
    <w:rsid w:val="78ED7548"/>
    <w:rsid w:val="790742C7"/>
    <w:rsid w:val="7947033B"/>
    <w:rsid w:val="795143FA"/>
    <w:rsid w:val="79570A7A"/>
    <w:rsid w:val="796C356B"/>
    <w:rsid w:val="79A034AD"/>
    <w:rsid w:val="79B36F8C"/>
    <w:rsid w:val="79C71BC3"/>
    <w:rsid w:val="79D25219"/>
    <w:rsid w:val="79DD2C7F"/>
    <w:rsid w:val="79E134A8"/>
    <w:rsid w:val="79EB620C"/>
    <w:rsid w:val="7A1E2AEA"/>
    <w:rsid w:val="7A221256"/>
    <w:rsid w:val="7A3064F5"/>
    <w:rsid w:val="7A6B1F9B"/>
    <w:rsid w:val="7A847847"/>
    <w:rsid w:val="7A876EF4"/>
    <w:rsid w:val="7A8E3EF6"/>
    <w:rsid w:val="7B0A4CC5"/>
    <w:rsid w:val="7B412915"/>
    <w:rsid w:val="7B66628C"/>
    <w:rsid w:val="7B73124A"/>
    <w:rsid w:val="7BED547D"/>
    <w:rsid w:val="7C076853"/>
    <w:rsid w:val="7C35618E"/>
    <w:rsid w:val="7C3E1996"/>
    <w:rsid w:val="7C3E2D22"/>
    <w:rsid w:val="7C9755A0"/>
    <w:rsid w:val="7C9B363B"/>
    <w:rsid w:val="7C9B4209"/>
    <w:rsid w:val="7CCA16C9"/>
    <w:rsid w:val="7CF449BD"/>
    <w:rsid w:val="7D7162A4"/>
    <w:rsid w:val="7DC536C5"/>
    <w:rsid w:val="7E225F4D"/>
    <w:rsid w:val="7E990128"/>
    <w:rsid w:val="7F3E5A22"/>
    <w:rsid w:val="7F8E4A7B"/>
    <w:rsid w:val="7F9F508F"/>
    <w:rsid w:val="7FD91B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4">
    <w:name w:val="heading 1"/>
    <w:basedOn w:val="1"/>
    <w:next w:val="1"/>
    <w:qFormat/>
    <w:uiPriority w:val="0"/>
    <w:pPr>
      <w:spacing w:before="0" w:beforeAutospacing="1" w:after="0" w:afterAutospacing="1"/>
      <w:jc w:val="left"/>
    </w:pPr>
    <w:rPr>
      <w:rFonts w:hint="eastAsia" w:ascii="宋体" w:hAnsi="宋体" w:eastAsia="宋体" w:cs="宋体"/>
      <w:b/>
      <w:sz w:val="48"/>
      <w:szCs w:val="48"/>
      <w:lang w:val="en-US" w:eastAsia="zh-CN" w:bidi="ar"/>
    </w:rPr>
  </w:style>
  <w:style w:type="paragraph" w:styleId="5">
    <w:name w:val="heading 2"/>
    <w:basedOn w:val="1"/>
    <w:next w:val="1"/>
    <w:link w:val="20"/>
    <w:unhideWhenUsed/>
    <w:qFormat/>
    <w:uiPriority w:val="0"/>
    <w:pPr>
      <w:keepNext/>
      <w:keepLines/>
      <w:spacing w:line="360" w:lineRule="auto"/>
      <w:ind w:firstLine="880" w:firstLineChars="200"/>
      <w:outlineLvl w:val="1"/>
    </w:pPr>
    <w:rPr>
      <w:rFonts w:ascii="楷体" w:hAnsi="楷体" w:eastAsia="楷体_GB2312"/>
      <w:sz w:val="28"/>
    </w:rPr>
  </w:style>
  <w:style w:type="paragraph" w:styleId="6">
    <w:name w:val="heading 3"/>
    <w:basedOn w:val="1"/>
    <w:next w:val="1"/>
    <w:unhideWhenUsed/>
    <w:qFormat/>
    <w:uiPriority w:val="0"/>
    <w:pPr>
      <w:keepNext/>
      <w:keepLines/>
      <w:spacing w:beforeLines="0" w:beforeAutospacing="0" w:afterLines="0" w:afterAutospacing="0" w:line="360" w:lineRule="auto"/>
      <w:ind w:firstLine="723" w:firstLineChars="200"/>
      <w:outlineLvl w:val="2"/>
    </w:pPr>
    <w:rPr>
      <w:rFonts w:eastAsia="仿宋_GB2312"/>
      <w:b/>
    </w:rPr>
  </w:style>
  <w:style w:type="character" w:default="1" w:styleId="17">
    <w:name w:val="Default Paragraph Font"/>
    <w:semiHidden/>
    <w:unhideWhenUsed/>
    <w:qFormat/>
    <w:uiPriority w:val="1"/>
  </w:style>
  <w:style w:type="table" w:default="1" w:styleId="15">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afterLines="0" w:afterAutospacing="0" w:line="360" w:lineRule="auto"/>
      <w:ind w:firstLine="880" w:firstLineChars="200"/>
    </w:pPr>
    <w:rPr>
      <w:rFonts w:ascii="Times New Roman" w:hAnsi="Times New Roman" w:eastAsia="仿宋_GB2312"/>
      <w:sz w:val="28"/>
    </w:rPr>
  </w:style>
  <w:style w:type="paragraph" w:styleId="3">
    <w:name w:val="Plain Text"/>
    <w:qFormat/>
    <w:uiPriority w:val="0"/>
    <w:pPr>
      <w:widowControl w:val="0"/>
      <w:jc w:val="both"/>
    </w:pPr>
    <w:rPr>
      <w:rFonts w:ascii="宋体" w:hAnsi="Courier New" w:eastAsiaTheme="minorEastAsia" w:cstheme="minorBidi"/>
      <w:kern w:val="2"/>
      <w:sz w:val="21"/>
      <w:szCs w:val="20"/>
      <w:lang w:val="en-US" w:eastAsia="zh-CN" w:bidi="ar-SA"/>
    </w:rPr>
  </w:style>
  <w:style w:type="paragraph" w:styleId="7">
    <w:name w:val="annotation text"/>
    <w:basedOn w:val="1"/>
    <w:qFormat/>
    <w:uiPriority w:val="0"/>
    <w:pPr>
      <w:jc w:val="left"/>
    </w:pPr>
  </w:style>
  <w:style w:type="paragraph" w:styleId="8">
    <w:name w:val="footer"/>
    <w:basedOn w:val="1"/>
    <w:qFormat/>
    <w:uiPriority w:val="99"/>
    <w:pPr>
      <w:tabs>
        <w:tab w:val="center" w:pos="4153"/>
        <w:tab w:val="right" w:pos="8306"/>
      </w:tabs>
      <w:snapToGrid w:val="0"/>
      <w:jc w:val="left"/>
    </w:pPr>
    <w:rPr>
      <w:rFonts w:ascii="Calibri" w:hAnsi="Calibri" w:eastAsia="仿宋_GB2312"/>
      <w:sz w:val="2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toc 1"/>
    <w:basedOn w:val="1"/>
    <w:next w:val="1"/>
    <w:qFormat/>
    <w:uiPriority w:val="0"/>
  </w:style>
  <w:style w:type="paragraph" w:styleId="11">
    <w:name w:val="footnote text"/>
    <w:basedOn w:val="1"/>
    <w:qFormat/>
    <w:uiPriority w:val="0"/>
    <w:pPr>
      <w:snapToGrid w:val="0"/>
      <w:jc w:val="left"/>
    </w:pPr>
    <w:rPr>
      <w:sz w:val="18"/>
    </w:rPr>
  </w:style>
  <w:style w:type="paragraph" w:styleId="12">
    <w:name w:val="toc 2"/>
    <w:basedOn w:val="1"/>
    <w:next w:val="1"/>
    <w:qFormat/>
    <w:uiPriority w:val="0"/>
    <w:pPr>
      <w:ind w:left="420" w:leftChars="200"/>
    </w:pPr>
  </w:style>
  <w:style w:type="paragraph" w:styleId="13">
    <w:name w:val="HTML Preformatted"/>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eastAsiaTheme="minorEastAsia"/>
      <w:kern w:val="0"/>
      <w:sz w:val="24"/>
      <w:szCs w:val="24"/>
      <w:lang w:val="en-US" w:eastAsia="zh-CN" w:bidi="ar-SA"/>
    </w:rPr>
  </w:style>
  <w:style w:type="paragraph" w:styleId="14">
    <w:name w:val="Normal (Web)"/>
    <w:basedOn w:val="1"/>
    <w:qFormat/>
    <w:uiPriority w:val="0"/>
    <w:pPr>
      <w:spacing w:beforeAutospacing="1" w:afterAutospacing="1"/>
      <w:jc w:val="left"/>
    </w:pPr>
    <w:rPr>
      <w:rFonts w:ascii="Times New Roman" w:hAnsi="Times New Roman"/>
      <w:kern w:val="0"/>
      <w:sz w:val="24"/>
    </w:rPr>
  </w:style>
  <w:style w:type="table" w:styleId="16">
    <w:name w:val="Table Grid"/>
    <w:basedOn w:val="1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8">
    <w:name w:val="Emphasis"/>
    <w:basedOn w:val="17"/>
    <w:qFormat/>
    <w:uiPriority w:val="0"/>
    <w:rPr>
      <w:i/>
    </w:rPr>
  </w:style>
  <w:style w:type="character" w:styleId="19">
    <w:name w:val="footnote reference"/>
    <w:basedOn w:val="17"/>
    <w:qFormat/>
    <w:uiPriority w:val="0"/>
    <w:rPr>
      <w:vertAlign w:val="superscript"/>
    </w:rPr>
  </w:style>
  <w:style w:type="character" w:customStyle="1" w:styleId="20">
    <w:name w:val="标题 2 Char"/>
    <w:basedOn w:val="17"/>
    <w:link w:val="5"/>
    <w:qFormat/>
    <w:uiPriority w:val="1"/>
    <w:rPr>
      <w:rFonts w:ascii="楷体" w:hAnsi="楷体" w:eastAsia="楷体_GB2312" w:cstheme="minorBidi"/>
      <w:kern w:val="2"/>
      <w:sz w:val="28"/>
      <w:szCs w:val="24"/>
    </w:rPr>
  </w:style>
  <w:style w:type="paragraph" w:customStyle="1" w:styleId="21">
    <w:name w:val="Table Paragraph"/>
    <w:basedOn w:val="1"/>
    <w:qFormat/>
    <w:uiPriority w:val="1"/>
    <w:rPr>
      <w:rFonts w:ascii="仿宋" w:hAnsi="仿宋" w:eastAsia="仿宋" w:cs="仿宋"/>
      <w:lang w:val="zh-CN" w:eastAsia="zh-CN" w:bidi="zh-CN"/>
    </w:rPr>
  </w:style>
  <w:style w:type="paragraph" w:styleId="22">
    <w:name w:val="List Paragraph"/>
    <w:basedOn w:val="1"/>
    <w:qFormat/>
    <w:uiPriority w:val="1"/>
    <w:pPr>
      <w:ind w:left="397" w:firstLine="638"/>
      <w:jc w:val="both"/>
    </w:pPr>
    <w:rPr>
      <w:rFonts w:ascii="仿宋" w:hAnsi="仿宋" w:eastAsia="仿宋" w:cs="仿宋"/>
      <w:lang w:val="zh-CN" w:eastAsia="zh-CN" w:bidi="zh-CN"/>
    </w:rPr>
  </w:style>
  <w:style w:type="paragraph" w:customStyle="1" w:styleId="23">
    <w:name w:val="Body text|1"/>
    <w:basedOn w:val="1"/>
    <w:qFormat/>
    <w:uiPriority w:val="0"/>
    <w:pPr>
      <w:widowControl w:val="0"/>
      <w:shd w:val="clear" w:color="auto" w:fill="auto"/>
      <w:spacing w:line="396" w:lineRule="auto"/>
      <w:ind w:firstLine="400"/>
    </w:pPr>
    <w:rPr>
      <w:rFonts w:ascii="宋体" w:hAnsi="宋体" w:eastAsia="宋体" w:cs="宋体"/>
      <w:sz w:val="30"/>
      <w:szCs w:val="30"/>
      <w:u w:val="none"/>
      <w:shd w:val="clear" w:color="auto" w:fill="auto"/>
      <w:lang w:val="zh-TW" w:eastAsia="zh-TW" w:bidi="zh-TW"/>
    </w:rPr>
  </w:style>
  <w:style w:type="paragraph" w:customStyle="1" w:styleId="24">
    <w:name w:val="Other|1"/>
    <w:basedOn w:val="1"/>
    <w:qFormat/>
    <w:uiPriority w:val="0"/>
    <w:pPr>
      <w:widowControl w:val="0"/>
      <w:shd w:val="clear" w:color="auto" w:fill="auto"/>
      <w:spacing w:line="295" w:lineRule="exact"/>
    </w:pPr>
    <w:rPr>
      <w:rFonts w:ascii="宋体" w:hAnsi="宋体" w:eastAsia="宋体" w:cs="宋体"/>
      <w:sz w:val="18"/>
      <w:szCs w:val="18"/>
      <w:u w:val="none"/>
      <w:shd w:val="clear" w:color="auto" w:fill="auto"/>
      <w:lang w:val="zh-TW" w:eastAsia="zh-TW" w:bidi="zh-TW"/>
    </w:rPr>
  </w:style>
  <w:style w:type="paragraph" w:customStyle="1" w:styleId="25">
    <w:name w:val="Header or footer|1"/>
    <w:basedOn w:val="1"/>
    <w:qFormat/>
    <w:uiPriority w:val="0"/>
    <w:pPr>
      <w:widowControl w:val="0"/>
      <w:shd w:val="clear" w:color="auto" w:fill="auto"/>
    </w:pPr>
    <w:rPr>
      <w:sz w:val="8"/>
      <w:szCs w:val="8"/>
      <w:u w:val="none"/>
      <w:shd w:val="clear" w:color="auto" w:fill="auto"/>
      <w:lang w:val="zh-TW" w:eastAsia="zh-TW" w:bidi="zh-TW"/>
    </w:rPr>
  </w:style>
  <w:style w:type="paragraph" w:customStyle="1" w:styleId="26">
    <w:name w:val="Other|2"/>
    <w:basedOn w:val="1"/>
    <w:qFormat/>
    <w:uiPriority w:val="0"/>
    <w:pPr>
      <w:widowControl w:val="0"/>
      <w:shd w:val="clear" w:color="auto" w:fill="auto"/>
    </w:pPr>
    <w:rPr>
      <w:rFonts w:ascii="宋体" w:hAnsi="宋体" w:eastAsia="宋体" w:cs="宋体"/>
      <w:sz w:val="54"/>
      <w:szCs w:val="54"/>
      <w:u w:val="none"/>
      <w:shd w:val="clear" w:color="auto" w:fill="auto"/>
      <w:lang w:val="zh-TW" w:eastAsia="zh-TW" w:bidi="zh-TW"/>
    </w:rPr>
  </w:style>
  <w:style w:type="paragraph" w:customStyle="1" w:styleId="27">
    <w:name w:val="WPSOffice手动目录 1"/>
    <w:qFormat/>
    <w:uiPriority w:val="0"/>
    <w:pPr>
      <w:ind w:leftChars="0"/>
    </w:pPr>
    <w:rPr>
      <w:rFonts w:ascii="Times New Roman" w:hAnsi="Times New Roman" w:eastAsia="宋体" w:cs="Times New Roman"/>
      <w:sz w:val="20"/>
      <w:szCs w:val="20"/>
    </w:rPr>
  </w:style>
  <w:style w:type="paragraph" w:customStyle="1" w:styleId="28">
    <w:name w:val="WPSOffice手动目录 2"/>
    <w:qFormat/>
    <w:uiPriority w:val="0"/>
    <w:pPr>
      <w:ind w:leftChars="200"/>
    </w:pPr>
    <w:rPr>
      <w:rFonts w:ascii="Times New Roman" w:hAnsi="Times New Roman" w:eastAsia="宋体" w:cs="Times New Roman"/>
      <w:sz w:val="20"/>
      <w:szCs w:val="20"/>
    </w:rPr>
  </w:style>
  <w:style w:type="character" w:customStyle="1" w:styleId="29">
    <w:name w:val="font11"/>
    <w:qFormat/>
    <w:uiPriority w:val="0"/>
    <w:rPr>
      <w:rFonts w:hint="eastAsia" w:ascii="宋体" w:hAnsi="宋体" w:eastAsia="宋体" w:cs="宋体"/>
      <w:b/>
      <w:bCs/>
      <w:color w:val="000000"/>
      <w:sz w:val="20"/>
      <w:szCs w:val="20"/>
      <w:u w:val="none"/>
    </w:rPr>
  </w:style>
  <w:style w:type="character" w:customStyle="1" w:styleId="30">
    <w:name w:val="font31"/>
    <w:qFormat/>
    <w:uiPriority w:val="0"/>
    <w:rPr>
      <w:rFonts w:hint="eastAsia" w:ascii="宋体" w:hAnsi="宋体" w:eastAsia="宋体" w:cs="宋体"/>
      <w:b/>
      <w:bCs/>
      <w:color w:val="000000"/>
      <w:sz w:val="20"/>
      <w:szCs w:val="20"/>
      <w:u w:val="none"/>
    </w:rPr>
  </w:style>
  <w:style w:type="table" w:customStyle="1" w:styleId="31">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35</Pages>
  <Words>18372</Words>
  <Characters>19522</Characters>
  <Lines>0</Lines>
  <Paragraphs>0</Paragraphs>
  <TotalTime>219</TotalTime>
  <ScaleCrop>false</ScaleCrop>
  <LinksUpToDate>false</LinksUpToDate>
  <CharactersWithSpaces>19662</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2021-01-31T00:38:00Z</dcterms:created>
  <dc:creator>李智勇</dc:creator>
  <cp:lastModifiedBy>李智勇</cp:lastModifiedBy>
  <dcterms:modified xsi:type="dcterms:W3CDTF">2022-09-13T11:29:15Z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5B8A4D2649B7486A979B194ED6F6BD6A</vt:lpwstr>
  </property>
  <property fmtid="{D5CDD505-2E9C-101B-9397-08002B2CF9AE}" pid="4" name="commondata">
    <vt:lpwstr>eyJoZGlkIjoiNjM1YWI2YjM3YmMyM2M2N2Q3ZDhhNjM1NzA1NDMxOGUifQ==</vt:lpwstr>
  </property>
</Properties>
</file>