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widowControl w:val="0"/>
        <w:numPr>
          <w:ilvl w:val="0"/>
          <w:numId w:val="0"/>
        </w:numPr>
        <w:wordWrap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宁武县ⅹx局行政检查裁量标准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tLeast"/>
        <w:jc w:val="center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</w:p>
    <w:tbl>
      <w:tblPr>
        <w:tblStyle w:val="2"/>
        <w:tblW w:w="14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45"/>
        <w:gridCol w:w="1656"/>
        <w:gridCol w:w="915"/>
        <w:gridCol w:w="1170"/>
        <w:gridCol w:w="1620"/>
        <w:gridCol w:w="2220"/>
        <w:gridCol w:w="1920"/>
        <w:gridCol w:w="192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94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职权类型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职权编码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职权名称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职权依据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检查事项清单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检查范围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检查频次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94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总项</w:t>
            </w:r>
          </w:p>
        </w:tc>
        <w:tc>
          <w:tcPr>
            <w:tcW w:w="11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子项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</w:trPr>
        <w:tc>
          <w:tcPr>
            <w:tcW w:w="8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行政检查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89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行政检查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2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9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/>
    <w:sectPr>
      <w:pgSz w:w="16838" w:h="11906" w:orient="landscape"/>
      <w:pgMar w:top="123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07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2021-11-10T03:46:43Z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B8E4D5C0B2AF49A090515F2D511B1073</vt:lpwstr>
  </property>
</Properties>
</file>