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wordWrap/>
        <w:adjustRightInd/>
        <w:snapToGrid/>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附件8</w:t>
      </w:r>
    </w:p>
    <w:p>
      <w:pPr>
        <w:widowControl w:val="0"/>
        <w:numPr>
          <w:ilvl w:val="0"/>
          <w:numId w:val="0"/>
        </w:numPr>
        <w:wordWrap/>
        <w:adjustRightInd/>
        <w:snapToGrid/>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宁武县ⅹx局行政处罚裁量标准</w:t>
      </w:r>
    </w:p>
    <w:tbl>
      <w:tblPr>
        <w:tblStyle w:val="2"/>
        <w:tblW w:w="14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200"/>
        <w:gridCol w:w="780"/>
        <w:gridCol w:w="540"/>
        <w:gridCol w:w="660"/>
        <w:gridCol w:w="4530"/>
        <w:gridCol w:w="750"/>
        <w:gridCol w:w="3825"/>
        <w:gridCol w:w="1845"/>
        <w:gridCol w:w="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80" w:type="dxa"/>
            <w:vMerge w:val="restart"/>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bCs/>
                <w:sz w:val="24"/>
                <w:szCs w:val="24"/>
                <w:lang w:val="en-US" w:eastAsia="zh-CN"/>
              </w:rPr>
            </w:pPr>
            <w:r>
              <w:rPr>
                <w:rFonts w:hint="default" w:ascii="Times New Roman" w:hAnsi="Times New Roman" w:eastAsia="仿宋_GB2312" w:cs="Times New Roman"/>
                <w:sz w:val="24"/>
                <w:szCs w:val="24"/>
              </w:rPr>
              <w:t>序号</w:t>
            </w:r>
          </w:p>
        </w:tc>
        <w:tc>
          <w:tcPr>
            <w:tcW w:w="1200" w:type="dxa"/>
            <w:vMerge w:val="restart"/>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职权类型</w:t>
            </w:r>
          </w:p>
        </w:tc>
        <w:tc>
          <w:tcPr>
            <w:tcW w:w="780" w:type="dxa"/>
            <w:vMerge w:val="restart"/>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职权编码</w:t>
            </w:r>
          </w:p>
        </w:tc>
        <w:tc>
          <w:tcPr>
            <w:tcW w:w="1200" w:type="dxa"/>
            <w:gridSpan w:val="2"/>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职权名称</w:t>
            </w:r>
          </w:p>
        </w:tc>
        <w:tc>
          <w:tcPr>
            <w:tcW w:w="4530" w:type="dxa"/>
            <w:vMerge w:val="restart"/>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职权依据</w:t>
            </w:r>
          </w:p>
        </w:tc>
        <w:tc>
          <w:tcPr>
            <w:tcW w:w="750" w:type="dxa"/>
            <w:vMerge w:val="restart"/>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裁量等级</w:t>
            </w:r>
          </w:p>
        </w:tc>
        <w:tc>
          <w:tcPr>
            <w:tcW w:w="3825" w:type="dxa"/>
            <w:vMerge w:val="restart"/>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违法情节及后果</w:t>
            </w:r>
          </w:p>
        </w:tc>
        <w:tc>
          <w:tcPr>
            <w:tcW w:w="1845" w:type="dxa"/>
            <w:vMerge w:val="restart"/>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处罚裁量标准</w:t>
            </w:r>
          </w:p>
        </w:tc>
        <w:tc>
          <w:tcPr>
            <w:tcW w:w="375" w:type="dxa"/>
            <w:vMerge w:val="restart"/>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0" w:type="dxa"/>
            <w:vMerge w:val="continue"/>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bCs/>
                <w:sz w:val="28"/>
                <w:szCs w:val="28"/>
                <w:lang w:val="en-US" w:eastAsia="zh-CN"/>
              </w:rPr>
            </w:pPr>
          </w:p>
        </w:tc>
        <w:tc>
          <w:tcPr>
            <w:tcW w:w="1200" w:type="dxa"/>
            <w:vMerge w:val="continue"/>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8"/>
                <w:szCs w:val="28"/>
                <w:lang w:val="en-US" w:eastAsia="zh-CN"/>
              </w:rPr>
            </w:pPr>
          </w:p>
        </w:tc>
        <w:tc>
          <w:tcPr>
            <w:tcW w:w="780" w:type="dxa"/>
            <w:vMerge w:val="continue"/>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8"/>
                <w:szCs w:val="28"/>
                <w:lang w:val="en-US" w:eastAsia="zh-CN"/>
              </w:rPr>
            </w:pPr>
          </w:p>
        </w:tc>
        <w:tc>
          <w:tcPr>
            <w:tcW w:w="540" w:type="dxa"/>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总项</w:t>
            </w:r>
          </w:p>
        </w:tc>
        <w:tc>
          <w:tcPr>
            <w:tcW w:w="660" w:type="dxa"/>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子项</w:t>
            </w:r>
          </w:p>
        </w:tc>
        <w:tc>
          <w:tcPr>
            <w:tcW w:w="4530" w:type="dxa"/>
            <w:vMerge w:val="continue"/>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8"/>
                <w:szCs w:val="28"/>
                <w:lang w:val="en-US" w:eastAsia="zh-CN"/>
              </w:rPr>
            </w:pPr>
          </w:p>
        </w:tc>
        <w:tc>
          <w:tcPr>
            <w:tcW w:w="750" w:type="dxa"/>
            <w:vMerge w:val="continue"/>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8"/>
                <w:szCs w:val="28"/>
                <w:lang w:val="en-US" w:eastAsia="zh-CN"/>
              </w:rPr>
            </w:pPr>
          </w:p>
        </w:tc>
        <w:tc>
          <w:tcPr>
            <w:tcW w:w="3825" w:type="dxa"/>
            <w:vMerge w:val="continue"/>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8"/>
                <w:szCs w:val="28"/>
                <w:lang w:val="en-US" w:eastAsia="zh-CN"/>
              </w:rPr>
            </w:pPr>
          </w:p>
        </w:tc>
        <w:tc>
          <w:tcPr>
            <w:tcW w:w="1845" w:type="dxa"/>
            <w:vMerge w:val="continue"/>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8"/>
                <w:szCs w:val="28"/>
                <w:lang w:val="en-US" w:eastAsia="zh-CN"/>
              </w:rPr>
            </w:pPr>
          </w:p>
        </w:tc>
        <w:tc>
          <w:tcPr>
            <w:tcW w:w="375" w:type="dxa"/>
            <w:vMerge w:val="continue"/>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480" w:type="dxa"/>
            <w:vMerge w:val="restart"/>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1</w:t>
            </w:r>
          </w:p>
        </w:tc>
        <w:tc>
          <w:tcPr>
            <w:tcW w:w="1200" w:type="dxa"/>
            <w:vMerge w:val="restart"/>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行政处罚</w:t>
            </w:r>
          </w:p>
        </w:tc>
        <w:tc>
          <w:tcPr>
            <w:tcW w:w="780" w:type="dxa"/>
            <w:vMerge w:val="restart"/>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p>
        </w:tc>
        <w:tc>
          <w:tcPr>
            <w:tcW w:w="540" w:type="dxa"/>
            <w:vMerge w:val="restart"/>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对违反危险化学品包装有关规定的处罚</w:t>
            </w:r>
          </w:p>
        </w:tc>
        <w:tc>
          <w:tcPr>
            <w:tcW w:w="660" w:type="dxa"/>
            <w:vMerge w:val="restart"/>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p>
        </w:tc>
        <w:tc>
          <w:tcPr>
            <w:tcW w:w="4530" w:type="dxa"/>
            <w:vMerge w:val="restart"/>
            <w:vAlign w:val="center"/>
          </w:tcPr>
          <w:p>
            <w:pPr>
              <w:widowControl w:val="0"/>
              <w:numPr>
                <w:ilvl w:val="0"/>
                <w:numId w:val="0"/>
              </w:numPr>
              <w:wordWrap/>
              <w:adjustRightInd/>
              <w:snapToGrid/>
              <w:jc w:val="left"/>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行政法规】《危险化学品安全管理条例》（国务院令第591号）第七十九条：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p>
        </w:tc>
        <w:tc>
          <w:tcPr>
            <w:tcW w:w="750" w:type="dxa"/>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轻微</w:t>
            </w:r>
          </w:p>
        </w:tc>
        <w:tc>
          <w:tcPr>
            <w:tcW w:w="3825" w:type="dxa"/>
            <w:vAlign w:val="center"/>
          </w:tcPr>
          <w:p>
            <w:pPr>
              <w:widowControl w:val="0"/>
              <w:numPr>
                <w:ilvl w:val="0"/>
                <w:numId w:val="1"/>
              </w:numPr>
              <w:wordWrap/>
              <w:adjustRightInd/>
              <w:snapToGrid/>
              <w:spacing w:before="0" w:after="0" w:line="280" w:lineRule="exact"/>
              <w:ind w:left="0" w:leftChars="0" w:right="0" w:firstLine="0" w:firstLineChars="0"/>
              <w:jc w:val="left"/>
              <w:textAlignment w:val="auto"/>
              <w:outlineLvl w:val="9"/>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有证据证明该产品是初次生产，没有造成危害结果的；</w:t>
            </w:r>
          </w:p>
          <w:p>
            <w:pPr>
              <w:widowControl w:val="0"/>
              <w:numPr>
                <w:ilvl w:val="0"/>
                <w:numId w:val="0"/>
              </w:numPr>
              <w:wordWrap/>
              <w:adjustRightInd/>
              <w:snapToGrid/>
              <w:spacing w:before="0" w:after="0" w:line="280" w:lineRule="exact"/>
              <w:ind w:left="0" w:leftChars="0" w:right="0" w:firstLine="0" w:firstLineChars="0"/>
              <w:jc w:val="left"/>
              <w:textAlignment w:val="auto"/>
              <w:outlineLvl w:val="9"/>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2.经检验不合格程度轻微，有证据表明不会造成危害后果的；</w:t>
            </w:r>
          </w:p>
          <w:p>
            <w:pPr>
              <w:widowControl w:val="0"/>
              <w:numPr>
                <w:ilvl w:val="0"/>
                <w:numId w:val="0"/>
              </w:numPr>
              <w:wordWrap/>
              <w:adjustRightInd/>
              <w:snapToGrid/>
              <w:spacing w:before="0" w:after="0" w:line="280" w:lineRule="exact"/>
              <w:ind w:left="0" w:leftChars="0" w:right="0" w:firstLine="0" w:firstLineChars="0"/>
              <w:jc w:val="left"/>
              <w:textAlignment w:val="auto"/>
              <w:outlineLvl w:val="9"/>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3.生产或销售货值少于5万元的；</w:t>
            </w:r>
          </w:p>
          <w:p>
            <w:pPr>
              <w:widowControl w:val="0"/>
              <w:numPr>
                <w:ilvl w:val="0"/>
                <w:numId w:val="0"/>
              </w:numPr>
              <w:wordWrap/>
              <w:adjustRightInd/>
              <w:snapToGrid/>
              <w:spacing w:before="0" w:after="0" w:line="280" w:lineRule="exact"/>
              <w:ind w:left="0" w:leftChars="0" w:right="0" w:firstLine="0" w:firstLineChars="0"/>
              <w:jc w:val="left"/>
              <w:textAlignment w:val="auto"/>
              <w:outlineLvl w:val="9"/>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4.主动追回已售出产品的；</w:t>
            </w:r>
          </w:p>
          <w:p>
            <w:pPr>
              <w:widowControl w:val="0"/>
              <w:numPr>
                <w:ilvl w:val="0"/>
                <w:numId w:val="0"/>
              </w:numPr>
              <w:wordWrap/>
              <w:adjustRightInd/>
              <w:snapToGrid/>
              <w:spacing w:before="0" w:after="0" w:line="280" w:lineRule="exact"/>
              <w:ind w:left="0" w:leftChars="0" w:right="0" w:firstLine="0" w:firstLineChars="0"/>
              <w:jc w:val="left"/>
              <w:textAlignment w:val="auto"/>
              <w:outlineLvl w:val="9"/>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5.对用户要求的赔偿能及时赔偿或采取其它补救措施的。</w:t>
            </w:r>
          </w:p>
        </w:tc>
        <w:tc>
          <w:tcPr>
            <w:tcW w:w="1845" w:type="dxa"/>
            <w:vAlign w:val="center"/>
          </w:tcPr>
          <w:p>
            <w:pPr>
              <w:widowControl w:val="0"/>
              <w:numPr>
                <w:ilvl w:val="0"/>
                <w:numId w:val="0"/>
              </w:numPr>
              <w:wordWrap/>
              <w:adjustRightInd/>
              <w:snapToGrid/>
              <w:jc w:val="left"/>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处10万元以上12万元以下罚款；</w:t>
            </w:r>
          </w:p>
          <w:p>
            <w:pPr>
              <w:widowControl w:val="0"/>
              <w:numPr>
                <w:ilvl w:val="0"/>
                <w:numId w:val="0"/>
              </w:numPr>
              <w:wordWrap/>
              <w:adjustRightInd/>
              <w:snapToGrid/>
              <w:jc w:val="left"/>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有违法所得的，</w:t>
            </w:r>
          </w:p>
          <w:p>
            <w:pPr>
              <w:widowControl w:val="0"/>
              <w:numPr>
                <w:ilvl w:val="0"/>
                <w:numId w:val="0"/>
              </w:numPr>
              <w:wordWrap/>
              <w:adjustRightInd/>
              <w:snapToGrid/>
              <w:jc w:val="left"/>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没收违法所得。</w:t>
            </w:r>
          </w:p>
        </w:tc>
        <w:tc>
          <w:tcPr>
            <w:tcW w:w="375" w:type="dxa"/>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trPr>
        <w:tc>
          <w:tcPr>
            <w:tcW w:w="480" w:type="dxa"/>
            <w:vMerge w:val="continue"/>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p>
        </w:tc>
        <w:tc>
          <w:tcPr>
            <w:tcW w:w="1200" w:type="dxa"/>
            <w:vMerge w:val="continue"/>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p>
        </w:tc>
        <w:tc>
          <w:tcPr>
            <w:tcW w:w="780" w:type="dxa"/>
            <w:vMerge w:val="continue"/>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p>
        </w:tc>
        <w:tc>
          <w:tcPr>
            <w:tcW w:w="540" w:type="dxa"/>
            <w:vMerge w:val="continue"/>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p>
        </w:tc>
        <w:tc>
          <w:tcPr>
            <w:tcW w:w="660" w:type="dxa"/>
            <w:vMerge w:val="continue"/>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p>
        </w:tc>
        <w:tc>
          <w:tcPr>
            <w:tcW w:w="4530" w:type="dxa"/>
            <w:vMerge w:val="continue"/>
            <w:vAlign w:val="center"/>
          </w:tcPr>
          <w:p>
            <w:pPr>
              <w:widowControl w:val="0"/>
              <w:numPr>
                <w:ilvl w:val="0"/>
                <w:numId w:val="0"/>
              </w:numPr>
              <w:wordWrap/>
              <w:adjustRightInd/>
              <w:snapToGrid/>
              <w:jc w:val="left"/>
              <w:textAlignment w:val="auto"/>
              <w:rPr>
                <w:rFonts w:hint="default" w:ascii="Times New Roman" w:hAnsi="Times New Roman" w:eastAsia="仿宋_GB2312" w:cs="Times New Roman"/>
                <w:b w:val="0"/>
                <w:bCs w:val="0"/>
                <w:sz w:val="24"/>
                <w:szCs w:val="24"/>
                <w:lang w:val="en-US" w:eastAsia="zh-CN"/>
              </w:rPr>
            </w:pPr>
          </w:p>
        </w:tc>
        <w:tc>
          <w:tcPr>
            <w:tcW w:w="750" w:type="dxa"/>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一般</w:t>
            </w:r>
          </w:p>
        </w:tc>
        <w:tc>
          <w:tcPr>
            <w:tcW w:w="3825" w:type="dxa"/>
            <w:vAlign w:val="center"/>
          </w:tcPr>
          <w:p>
            <w:pPr>
              <w:widowControl w:val="0"/>
              <w:numPr>
                <w:ilvl w:val="0"/>
                <w:numId w:val="0"/>
              </w:numPr>
              <w:wordWrap/>
              <w:adjustRightInd/>
              <w:snapToGrid/>
              <w:spacing w:before="0" w:after="0" w:line="280" w:lineRule="exact"/>
              <w:ind w:left="0" w:leftChars="0" w:right="0" w:firstLine="0" w:firstLineChars="0"/>
              <w:jc w:val="left"/>
              <w:textAlignment w:val="auto"/>
              <w:outlineLvl w:val="9"/>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1.有证据证明不会和没有造成危害后果的；</w:t>
            </w:r>
          </w:p>
          <w:p>
            <w:pPr>
              <w:widowControl w:val="0"/>
              <w:numPr>
                <w:ilvl w:val="0"/>
                <w:numId w:val="0"/>
              </w:numPr>
              <w:wordWrap/>
              <w:adjustRightInd/>
              <w:snapToGrid/>
              <w:spacing w:before="0" w:after="0" w:line="280" w:lineRule="exact"/>
              <w:ind w:left="0" w:leftChars="0" w:right="0" w:firstLine="0" w:firstLineChars="0"/>
              <w:jc w:val="left"/>
              <w:textAlignment w:val="auto"/>
              <w:outlineLvl w:val="9"/>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2.生产或销售产品货值大于5万元少于10万元；</w:t>
            </w:r>
          </w:p>
          <w:p>
            <w:pPr>
              <w:widowControl w:val="0"/>
              <w:numPr>
                <w:ilvl w:val="0"/>
                <w:numId w:val="0"/>
              </w:numPr>
              <w:wordWrap/>
              <w:adjustRightInd/>
              <w:snapToGrid/>
              <w:spacing w:before="0" w:after="0" w:line="280" w:lineRule="exact"/>
              <w:ind w:left="0" w:leftChars="0" w:right="0" w:firstLine="0" w:firstLineChars="0"/>
              <w:jc w:val="left"/>
              <w:textAlignment w:val="auto"/>
              <w:outlineLvl w:val="9"/>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3.产品全部或大部分已被销售，无法追回的。</w:t>
            </w:r>
          </w:p>
        </w:tc>
        <w:tc>
          <w:tcPr>
            <w:tcW w:w="1845" w:type="dxa"/>
            <w:vAlign w:val="center"/>
          </w:tcPr>
          <w:p>
            <w:pPr>
              <w:widowControl w:val="0"/>
              <w:numPr>
                <w:ilvl w:val="0"/>
                <w:numId w:val="0"/>
              </w:numPr>
              <w:wordWrap/>
              <w:adjustRightInd/>
              <w:snapToGrid/>
              <w:jc w:val="left"/>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处10万元以上12万元以下罚款；</w:t>
            </w:r>
          </w:p>
          <w:p>
            <w:pPr>
              <w:widowControl w:val="0"/>
              <w:numPr>
                <w:ilvl w:val="0"/>
                <w:numId w:val="0"/>
              </w:numPr>
              <w:wordWrap/>
              <w:adjustRightInd/>
              <w:snapToGrid/>
              <w:jc w:val="left"/>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没收违法所得。</w:t>
            </w:r>
          </w:p>
        </w:tc>
        <w:tc>
          <w:tcPr>
            <w:tcW w:w="375" w:type="dxa"/>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480" w:type="dxa"/>
            <w:vMerge w:val="continue"/>
            <w:vAlign w:val="center"/>
          </w:tcPr>
          <w:p>
            <w:pPr>
              <w:widowControl w:val="0"/>
              <w:wordWrap/>
              <w:adjustRightInd/>
              <w:snapToGrid/>
              <w:jc w:val="center"/>
              <w:textAlignment w:val="auto"/>
              <w:rPr>
                <w:rFonts w:hint="default" w:ascii="Times New Roman" w:hAnsi="Times New Roman" w:eastAsia="仿宋_GB2312" w:cs="Times New Roman"/>
                <w:sz w:val="24"/>
                <w:szCs w:val="24"/>
              </w:rPr>
            </w:pPr>
          </w:p>
        </w:tc>
        <w:tc>
          <w:tcPr>
            <w:tcW w:w="1200" w:type="dxa"/>
            <w:vMerge w:val="continue"/>
            <w:vAlign w:val="center"/>
          </w:tcPr>
          <w:p>
            <w:pPr>
              <w:widowControl w:val="0"/>
              <w:wordWrap/>
              <w:adjustRightInd/>
              <w:snapToGrid/>
              <w:jc w:val="center"/>
              <w:textAlignment w:val="auto"/>
              <w:rPr>
                <w:rFonts w:hint="default" w:ascii="Times New Roman" w:hAnsi="Times New Roman" w:eastAsia="仿宋_GB2312" w:cs="Times New Roman"/>
                <w:sz w:val="24"/>
                <w:szCs w:val="24"/>
              </w:rPr>
            </w:pPr>
          </w:p>
        </w:tc>
        <w:tc>
          <w:tcPr>
            <w:tcW w:w="780" w:type="dxa"/>
            <w:vMerge w:val="continue"/>
            <w:vAlign w:val="center"/>
          </w:tcPr>
          <w:p>
            <w:pPr>
              <w:widowControl w:val="0"/>
              <w:wordWrap/>
              <w:adjustRightInd/>
              <w:snapToGrid/>
              <w:jc w:val="center"/>
              <w:textAlignment w:val="auto"/>
              <w:rPr>
                <w:rFonts w:hint="default" w:ascii="Times New Roman" w:hAnsi="Times New Roman" w:eastAsia="仿宋_GB2312" w:cs="Times New Roman"/>
                <w:sz w:val="24"/>
                <w:szCs w:val="24"/>
              </w:rPr>
            </w:pPr>
          </w:p>
        </w:tc>
        <w:tc>
          <w:tcPr>
            <w:tcW w:w="540" w:type="dxa"/>
            <w:vMerge w:val="continue"/>
            <w:vAlign w:val="center"/>
          </w:tcPr>
          <w:p>
            <w:pPr>
              <w:widowControl w:val="0"/>
              <w:wordWrap/>
              <w:adjustRightInd/>
              <w:snapToGrid/>
              <w:jc w:val="center"/>
              <w:textAlignment w:val="auto"/>
              <w:rPr>
                <w:rFonts w:hint="default" w:ascii="Times New Roman" w:hAnsi="Times New Roman" w:eastAsia="仿宋_GB2312" w:cs="Times New Roman"/>
                <w:sz w:val="24"/>
                <w:szCs w:val="24"/>
              </w:rPr>
            </w:pPr>
          </w:p>
        </w:tc>
        <w:tc>
          <w:tcPr>
            <w:tcW w:w="660" w:type="dxa"/>
            <w:vMerge w:val="continue"/>
            <w:vAlign w:val="center"/>
          </w:tcPr>
          <w:p>
            <w:pPr>
              <w:widowControl w:val="0"/>
              <w:wordWrap/>
              <w:adjustRightInd/>
              <w:snapToGrid/>
              <w:jc w:val="center"/>
              <w:textAlignment w:val="auto"/>
              <w:rPr>
                <w:rFonts w:hint="default" w:ascii="Times New Roman" w:hAnsi="Times New Roman" w:eastAsia="仿宋_GB2312" w:cs="Times New Roman"/>
                <w:sz w:val="24"/>
                <w:szCs w:val="24"/>
              </w:rPr>
            </w:pPr>
          </w:p>
        </w:tc>
        <w:tc>
          <w:tcPr>
            <w:tcW w:w="4530" w:type="dxa"/>
            <w:vMerge w:val="continue"/>
            <w:vAlign w:val="center"/>
          </w:tcPr>
          <w:p>
            <w:pPr>
              <w:widowControl w:val="0"/>
              <w:wordWrap/>
              <w:adjustRightInd/>
              <w:snapToGrid/>
              <w:jc w:val="left"/>
              <w:textAlignment w:val="auto"/>
              <w:rPr>
                <w:rFonts w:hint="default" w:ascii="Times New Roman" w:hAnsi="Times New Roman" w:eastAsia="仿宋_GB2312" w:cs="Times New Roman"/>
                <w:sz w:val="24"/>
                <w:szCs w:val="24"/>
              </w:rPr>
            </w:pPr>
          </w:p>
        </w:tc>
        <w:tc>
          <w:tcPr>
            <w:tcW w:w="750" w:type="dxa"/>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严重</w:t>
            </w:r>
          </w:p>
        </w:tc>
        <w:tc>
          <w:tcPr>
            <w:tcW w:w="3825" w:type="dxa"/>
            <w:vAlign w:val="center"/>
          </w:tcPr>
          <w:p>
            <w:pPr>
              <w:widowControl w:val="0"/>
              <w:numPr>
                <w:ilvl w:val="0"/>
                <w:numId w:val="2"/>
              </w:numPr>
              <w:wordWrap/>
              <w:adjustRightInd/>
              <w:snapToGrid/>
              <w:spacing w:before="0" w:after="0" w:line="280" w:lineRule="exact"/>
              <w:ind w:left="0" w:leftChars="0" w:right="0" w:firstLine="0" w:firstLineChars="0"/>
              <w:jc w:val="left"/>
              <w:textAlignment w:val="auto"/>
              <w:outlineLvl w:val="9"/>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生产或销售产品货值大于10万元的；</w:t>
            </w:r>
          </w:p>
          <w:p>
            <w:pPr>
              <w:widowControl w:val="0"/>
              <w:numPr>
                <w:ilvl w:val="0"/>
                <w:numId w:val="2"/>
              </w:numPr>
              <w:wordWrap/>
              <w:adjustRightInd/>
              <w:snapToGrid/>
              <w:spacing w:before="0" w:after="0" w:line="280" w:lineRule="exact"/>
              <w:ind w:left="0" w:leftChars="0" w:right="0" w:firstLine="0" w:firstLineChars="0"/>
              <w:jc w:val="left"/>
              <w:textAlignment w:val="auto"/>
              <w:outlineLvl w:val="9"/>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2.产品全部或大部分已被销售，不能追回的；</w:t>
            </w:r>
          </w:p>
          <w:p>
            <w:pPr>
              <w:widowControl w:val="0"/>
              <w:numPr>
                <w:ilvl w:val="0"/>
                <w:numId w:val="0"/>
              </w:numPr>
              <w:wordWrap/>
              <w:adjustRightInd/>
              <w:snapToGrid/>
              <w:spacing w:before="0" w:after="0" w:line="280" w:lineRule="exact"/>
              <w:ind w:left="0" w:leftChars="0" w:right="0" w:firstLine="0" w:firstLineChars="0"/>
              <w:jc w:val="left"/>
              <w:textAlignment w:val="auto"/>
              <w:outlineLvl w:val="9"/>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3.继续实施违法行为，拒不改正的；</w:t>
            </w:r>
          </w:p>
          <w:p>
            <w:pPr>
              <w:widowControl w:val="0"/>
              <w:numPr>
                <w:ilvl w:val="0"/>
                <w:numId w:val="0"/>
              </w:numPr>
              <w:wordWrap/>
              <w:adjustRightInd/>
              <w:snapToGrid/>
              <w:spacing w:before="0" w:after="0" w:line="280" w:lineRule="exact"/>
              <w:ind w:left="0" w:leftChars="0" w:right="0" w:firstLine="0" w:firstLineChars="0"/>
              <w:jc w:val="left"/>
              <w:textAlignment w:val="auto"/>
              <w:outlineLvl w:val="9"/>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4.造成人身、财产损害或者造成较大社会影响等严重危害后果的。</w:t>
            </w:r>
          </w:p>
        </w:tc>
        <w:tc>
          <w:tcPr>
            <w:tcW w:w="1845" w:type="dxa"/>
            <w:vAlign w:val="center"/>
          </w:tcPr>
          <w:p>
            <w:pPr>
              <w:widowControl w:val="0"/>
              <w:numPr>
                <w:ilvl w:val="0"/>
                <w:numId w:val="0"/>
              </w:numPr>
              <w:wordWrap/>
              <w:adjustRightInd/>
              <w:snapToGrid/>
              <w:jc w:val="left"/>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处16万元以上20万元以下罚款，没收违法所得，责令停产停业整顿。</w:t>
            </w:r>
          </w:p>
        </w:tc>
        <w:tc>
          <w:tcPr>
            <w:tcW w:w="375" w:type="dxa"/>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480" w:type="dxa"/>
            <w:vMerge w:val="restart"/>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2</w:t>
            </w:r>
          </w:p>
        </w:tc>
        <w:tc>
          <w:tcPr>
            <w:tcW w:w="1200" w:type="dxa"/>
            <w:vMerge w:val="restart"/>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行政处罚</w:t>
            </w:r>
          </w:p>
        </w:tc>
        <w:tc>
          <w:tcPr>
            <w:tcW w:w="780" w:type="dxa"/>
            <w:vMerge w:val="restart"/>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p>
        </w:tc>
        <w:tc>
          <w:tcPr>
            <w:tcW w:w="540" w:type="dxa"/>
            <w:vMerge w:val="restart"/>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对生产、销售、进口不符合强制性标准的产品的处罚</w:t>
            </w:r>
          </w:p>
        </w:tc>
        <w:tc>
          <w:tcPr>
            <w:tcW w:w="660" w:type="dxa"/>
            <w:vMerge w:val="restart"/>
            <w:vAlign w:val="center"/>
          </w:tcPr>
          <w:p>
            <w:pPr>
              <w:widowControl w:val="0"/>
              <w:numPr>
                <w:ilvl w:val="0"/>
                <w:numId w:val="0"/>
              </w:numPr>
              <w:wordWrap/>
              <w:adjustRightInd/>
              <w:snapToGrid/>
              <w:jc w:val="both"/>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对进口不符合强制性标准的产品的处罚</w:t>
            </w:r>
          </w:p>
        </w:tc>
        <w:tc>
          <w:tcPr>
            <w:tcW w:w="4530" w:type="dxa"/>
            <w:vMerge w:val="restart"/>
            <w:vAlign w:val="center"/>
          </w:tcPr>
          <w:p>
            <w:pPr>
              <w:widowControl w:val="0"/>
              <w:numPr>
                <w:ilvl w:val="0"/>
                <w:numId w:val="0"/>
              </w:numPr>
              <w:wordWrap/>
              <w:adjustRightInd/>
              <w:snapToGrid/>
              <w:jc w:val="both"/>
              <w:textAlignment w:val="auto"/>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【法律】《中华人民共和国标准化法》第十四条：强制性标准，必须执行。不符合强制性标准的产品，禁止生产、销售和进口。推荐性标准，国家鼓励企业自愿采用。</w:t>
            </w:r>
          </w:p>
          <w:p>
            <w:pPr>
              <w:widowControl w:val="0"/>
              <w:numPr>
                <w:ilvl w:val="0"/>
                <w:numId w:val="0"/>
              </w:numPr>
              <w:wordWrap/>
              <w:adjustRightInd/>
              <w:snapToGrid/>
              <w:jc w:val="both"/>
              <w:textAlignment w:val="auto"/>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第二十条：生产、销售、进口不符合强制性标准的产品的，由法律行政法规规定的行政主管部门依法处理，法律、行政法规未作规定的，由工商行政管理部门没收产品和违法所得，并处罚款；造成严重后果构成犯罪的，对直接责任人员依法追究刑事责任。</w:t>
            </w:r>
          </w:p>
          <w:p>
            <w:pPr>
              <w:widowControl w:val="0"/>
              <w:numPr>
                <w:ilvl w:val="0"/>
                <w:numId w:val="0"/>
              </w:numPr>
              <w:wordWrap/>
              <w:adjustRightInd/>
              <w:snapToGrid/>
              <w:jc w:val="both"/>
              <w:textAlignment w:val="auto"/>
              <w:rPr>
                <w:rFonts w:hint="default" w:ascii="Times New Roman" w:hAnsi="Times New Roman" w:eastAsia="仿宋_GB2312" w:cs="Times New Roman"/>
                <w:b w:val="0"/>
                <w:bCs w:val="0"/>
                <w:sz w:val="21"/>
                <w:szCs w:val="21"/>
                <w:lang w:val="en-US" w:eastAsia="zh-CN"/>
              </w:rPr>
            </w:pPr>
            <w:r>
              <w:rPr>
                <w:rFonts w:hint="default" w:ascii="Times New Roman" w:hAnsi="Times New Roman" w:eastAsia="仿宋_GB2312" w:cs="Times New Roman"/>
                <w:b w:val="0"/>
                <w:bCs w:val="0"/>
                <w:sz w:val="21"/>
                <w:szCs w:val="21"/>
                <w:lang w:val="en-US" w:eastAsia="zh-CN"/>
              </w:rPr>
              <w:t>【行政法规】《中华人民共和国标准化法实施条例》（国务院令第53号）第三十三条：生产不符合强制性标准的产品的，应当责令其停止生产，并没收产品，监督销毁或作必要技术处理；处以该批产品货值的金额20%至50%的罚款；对有的关责任者处以5000元以下罚款。</w:t>
            </w:r>
          </w:p>
          <w:p>
            <w:pPr>
              <w:widowControl w:val="0"/>
              <w:numPr>
                <w:ilvl w:val="0"/>
                <w:numId w:val="0"/>
              </w:numPr>
              <w:wordWrap/>
              <w:adjustRightInd/>
              <w:snapToGrid/>
              <w:jc w:val="both"/>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1"/>
                <w:szCs w:val="21"/>
                <w:lang w:val="en-US" w:eastAsia="zh-CN"/>
              </w:rPr>
              <w:t>销售不符合强制性标准的商品的，应当责令其停止销售，并限期追回已售出的商品，监督销毁或作必要技术处理；没收违法所得；处以该批商品货值金额10%至20%的罚款；对有关责任者处以5000元以下罚款。进口不符合强制性标准的产品的，应当封存并没收该产品，监督销毁或作必要技术处理；处以进口产品货值金额20%至50%的罚款；对有关责任者给予行政处分，并可处以5000元以下罚款。本条规定的责令停止生产行政处分，由有关行政主管部门决定；其他行政处罚由标准化行政主管部门和工商行政管理部门依据职权决定。</w:t>
            </w:r>
          </w:p>
        </w:tc>
        <w:tc>
          <w:tcPr>
            <w:tcW w:w="750" w:type="dxa"/>
            <w:vAlign w:val="center"/>
          </w:tcPr>
          <w:p>
            <w:pPr>
              <w:widowControl w:val="0"/>
              <w:numPr>
                <w:ilvl w:val="0"/>
                <w:numId w:val="0"/>
              </w:numPr>
              <w:wordWrap/>
              <w:adjustRightInd/>
              <w:snapToGrid/>
              <w:ind w:left="0" w:leftChars="0" w:firstLine="0" w:firstLineChars="0"/>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轻微</w:t>
            </w:r>
          </w:p>
        </w:tc>
        <w:tc>
          <w:tcPr>
            <w:tcW w:w="3825" w:type="dxa"/>
            <w:vAlign w:val="center"/>
          </w:tcPr>
          <w:p>
            <w:pPr>
              <w:widowControl w:val="0"/>
              <w:numPr>
                <w:ilvl w:val="0"/>
                <w:numId w:val="0"/>
              </w:numPr>
              <w:wordWrap/>
              <w:adjustRightInd/>
              <w:snapToGrid/>
              <w:jc w:val="left"/>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产品未销售或主动追回已销售的全部产品。</w:t>
            </w:r>
          </w:p>
        </w:tc>
        <w:tc>
          <w:tcPr>
            <w:tcW w:w="1845" w:type="dxa"/>
            <w:vAlign w:val="center"/>
          </w:tcPr>
          <w:p>
            <w:pPr>
              <w:widowControl w:val="0"/>
              <w:numPr>
                <w:ilvl w:val="0"/>
                <w:numId w:val="0"/>
              </w:numPr>
              <w:wordWrap/>
              <w:adjustRightInd/>
              <w:snapToGrid/>
              <w:jc w:val="both"/>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封存并没收该产品，监督销毁或作必要技术处理；处以进口产品货值金额20%-30%罚款，对有关责任者处以1000元以下罚款。</w:t>
            </w:r>
          </w:p>
        </w:tc>
        <w:tc>
          <w:tcPr>
            <w:tcW w:w="375" w:type="dxa"/>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480" w:type="dxa"/>
            <w:vMerge w:val="continue"/>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bCs/>
                <w:sz w:val="24"/>
                <w:szCs w:val="24"/>
                <w:lang w:val="en-US" w:eastAsia="zh-CN"/>
              </w:rPr>
            </w:pPr>
          </w:p>
        </w:tc>
        <w:tc>
          <w:tcPr>
            <w:tcW w:w="1200" w:type="dxa"/>
            <w:vMerge w:val="continue"/>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p>
        </w:tc>
        <w:tc>
          <w:tcPr>
            <w:tcW w:w="780" w:type="dxa"/>
            <w:vMerge w:val="continue"/>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p>
        </w:tc>
        <w:tc>
          <w:tcPr>
            <w:tcW w:w="540" w:type="dxa"/>
            <w:vMerge w:val="continue"/>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p>
        </w:tc>
        <w:tc>
          <w:tcPr>
            <w:tcW w:w="660" w:type="dxa"/>
            <w:vMerge w:val="continue"/>
            <w:vAlign w:val="center"/>
          </w:tcPr>
          <w:p>
            <w:pPr>
              <w:widowControl w:val="0"/>
              <w:numPr>
                <w:ilvl w:val="0"/>
                <w:numId w:val="0"/>
              </w:numPr>
              <w:wordWrap/>
              <w:adjustRightInd/>
              <w:snapToGrid/>
              <w:jc w:val="both"/>
              <w:textAlignment w:val="auto"/>
              <w:rPr>
                <w:rFonts w:hint="default" w:ascii="Times New Roman" w:hAnsi="Times New Roman" w:eastAsia="仿宋_GB2312" w:cs="Times New Roman"/>
                <w:b w:val="0"/>
                <w:bCs w:val="0"/>
                <w:sz w:val="24"/>
                <w:szCs w:val="24"/>
                <w:lang w:val="en-US" w:eastAsia="zh-CN"/>
              </w:rPr>
            </w:pPr>
          </w:p>
        </w:tc>
        <w:tc>
          <w:tcPr>
            <w:tcW w:w="4530" w:type="dxa"/>
            <w:vMerge w:val="continue"/>
            <w:vAlign w:val="center"/>
          </w:tcPr>
          <w:p>
            <w:pPr>
              <w:widowControl w:val="0"/>
              <w:numPr>
                <w:ilvl w:val="0"/>
                <w:numId w:val="0"/>
              </w:numPr>
              <w:wordWrap/>
              <w:adjustRightInd/>
              <w:snapToGrid/>
              <w:jc w:val="both"/>
              <w:textAlignment w:val="auto"/>
              <w:rPr>
                <w:rFonts w:hint="default" w:ascii="Times New Roman" w:hAnsi="Times New Roman" w:eastAsia="仿宋_GB2312" w:cs="Times New Roman"/>
                <w:b w:val="0"/>
                <w:bCs w:val="0"/>
                <w:sz w:val="24"/>
                <w:szCs w:val="24"/>
                <w:lang w:val="en-US" w:eastAsia="zh-CN"/>
              </w:rPr>
            </w:pPr>
          </w:p>
        </w:tc>
        <w:tc>
          <w:tcPr>
            <w:tcW w:w="750" w:type="dxa"/>
            <w:vAlign w:val="center"/>
          </w:tcPr>
          <w:p>
            <w:pPr>
              <w:widowControl w:val="0"/>
              <w:numPr>
                <w:ilvl w:val="0"/>
                <w:numId w:val="0"/>
              </w:numPr>
              <w:wordWrap/>
              <w:adjustRightInd/>
              <w:snapToGrid/>
              <w:ind w:left="0" w:leftChars="0" w:firstLine="0" w:firstLineChars="0"/>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一般</w:t>
            </w:r>
          </w:p>
        </w:tc>
        <w:tc>
          <w:tcPr>
            <w:tcW w:w="3825" w:type="dxa"/>
            <w:vAlign w:val="center"/>
          </w:tcPr>
          <w:p>
            <w:pPr>
              <w:widowControl w:val="0"/>
              <w:numPr>
                <w:ilvl w:val="0"/>
                <w:numId w:val="0"/>
              </w:numPr>
              <w:wordWrap/>
              <w:adjustRightInd/>
              <w:snapToGrid/>
              <w:jc w:val="left"/>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产品已部分销售，但主动追回已销售的部分产品，积极消除不良影响的。</w:t>
            </w:r>
          </w:p>
        </w:tc>
        <w:tc>
          <w:tcPr>
            <w:tcW w:w="1845" w:type="dxa"/>
            <w:vAlign w:val="center"/>
          </w:tcPr>
          <w:p>
            <w:pPr>
              <w:widowControl w:val="0"/>
              <w:numPr>
                <w:ilvl w:val="0"/>
                <w:numId w:val="0"/>
              </w:numPr>
              <w:wordWrap/>
              <w:adjustRightInd/>
              <w:snapToGrid/>
              <w:jc w:val="both"/>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封存并没收该产品，监督销毁或作必要技术处理；处以进口产品货值金额30%-40%的罚款；对有关责任者处以1000</w:t>
            </w:r>
          </w:p>
          <w:p>
            <w:pPr>
              <w:widowControl w:val="0"/>
              <w:numPr>
                <w:ilvl w:val="0"/>
                <w:numId w:val="0"/>
              </w:numPr>
              <w:wordWrap/>
              <w:adjustRightInd/>
              <w:snapToGrid/>
              <w:jc w:val="both"/>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-3000元罚款。</w:t>
            </w:r>
          </w:p>
        </w:tc>
        <w:tc>
          <w:tcPr>
            <w:tcW w:w="375" w:type="dxa"/>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480" w:type="dxa"/>
            <w:vMerge w:val="continue"/>
            <w:vAlign w:val="center"/>
          </w:tcPr>
          <w:p>
            <w:pPr>
              <w:widowControl w:val="0"/>
              <w:wordWrap/>
              <w:adjustRightInd/>
              <w:snapToGrid/>
              <w:jc w:val="center"/>
              <w:textAlignment w:val="auto"/>
              <w:rPr>
                <w:rFonts w:hint="default" w:ascii="Times New Roman" w:hAnsi="Times New Roman" w:cs="Times New Roman"/>
              </w:rPr>
            </w:pPr>
          </w:p>
        </w:tc>
        <w:tc>
          <w:tcPr>
            <w:tcW w:w="1200" w:type="dxa"/>
            <w:vMerge w:val="continue"/>
            <w:vAlign w:val="center"/>
          </w:tcPr>
          <w:p>
            <w:pPr>
              <w:widowControl w:val="0"/>
              <w:wordWrap/>
              <w:adjustRightInd/>
              <w:snapToGrid/>
              <w:jc w:val="center"/>
              <w:textAlignment w:val="auto"/>
              <w:rPr>
                <w:rFonts w:hint="default" w:ascii="Times New Roman" w:hAnsi="Times New Roman" w:cs="Times New Roman"/>
              </w:rPr>
            </w:pPr>
          </w:p>
        </w:tc>
        <w:tc>
          <w:tcPr>
            <w:tcW w:w="780" w:type="dxa"/>
            <w:vMerge w:val="continue"/>
            <w:vAlign w:val="center"/>
          </w:tcPr>
          <w:p>
            <w:pPr>
              <w:widowControl w:val="0"/>
              <w:wordWrap/>
              <w:adjustRightInd/>
              <w:snapToGrid/>
              <w:jc w:val="center"/>
              <w:textAlignment w:val="auto"/>
              <w:rPr>
                <w:rFonts w:hint="default" w:ascii="Times New Roman" w:hAnsi="Times New Roman" w:cs="Times New Roman"/>
              </w:rPr>
            </w:pPr>
          </w:p>
        </w:tc>
        <w:tc>
          <w:tcPr>
            <w:tcW w:w="540" w:type="dxa"/>
            <w:vMerge w:val="continue"/>
            <w:vAlign w:val="center"/>
          </w:tcPr>
          <w:p>
            <w:pPr>
              <w:widowControl w:val="0"/>
              <w:wordWrap/>
              <w:adjustRightInd/>
              <w:snapToGrid/>
              <w:jc w:val="center"/>
              <w:textAlignment w:val="auto"/>
              <w:rPr>
                <w:rFonts w:hint="default" w:ascii="Times New Roman" w:hAnsi="Times New Roman" w:cs="Times New Roman"/>
              </w:rPr>
            </w:pPr>
          </w:p>
        </w:tc>
        <w:tc>
          <w:tcPr>
            <w:tcW w:w="660" w:type="dxa"/>
            <w:vMerge w:val="continue"/>
            <w:vAlign w:val="center"/>
          </w:tcPr>
          <w:p>
            <w:pPr>
              <w:widowControl w:val="0"/>
              <w:wordWrap/>
              <w:adjustRightInd/>
              <w:snapToGrid/>
              <w:jc w:val="both"/>
              <w:textAlignment w:val="auto"/>
              <w:rPr>
                <w:rFonts w:hint="default" w:ascii="Times New Roman" w:hAnsi="Times New Roman" w:cs="Times New Roman"/>
              </w:rPr>
            </w:pPr>
          </w:p>
        </w:tc>
        <w:tc>
          <w:tcPr>
            <w:tcW w:w="4530" w:type="dxa"/>
            <w:vMerge w:val="continue"/>
            <w:vAlign w:val="center"/>
          </w:tcPr>
          <w:p>
            <w:pPr>
              <w:widowControl w:val="0"/>
              <w:wordWrap/>
              <w:adjustRightInd/>
              <w:snapToGrid/>
              <w:jc w:val="both"/>
              <w:textAlignment w:val="auto"/>
              <w:rPr>
                <w:rFonts w:hint="default" w:ascii="Times New Roman" w:hAnsi="Times New Roman" w:cs="Times New Roman"/>
              </w:rPr>
            </w:pPr>
          </w:p>
        </w:tc>
        <w:tc>
          <w:tcPr>
            <w:tcW w:w="750" w:type="dxa"/>
            <w:vAlign w:val="center"/>
          </w:tcPr>
          <w:p>
            <w:pPr>
              <w:widowControl w:val="0"/>
              <w:numPr>
                <w:ilvl w:val="0"/>
                <w:numId w:val="0"/>
              </w:numPr>
              <w:wordWrap/>
              <w:adjustRightInd/>
              <w:snapToGrid/>
              <w:ind w:left="0" w:leftChars="0" w:firstLine="0" w:firstLineChars="0"/>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严重</w:t>
            </w:r>
          </w:p>
        </w:tc>
        <w:tc>
          <w:tcPr>
            <w:tcW w:w="3825" w:type="dxa"/>
            <w:vAlign w:val="center"/>
          </w:tcPr>
          <w:p>
            <w:pPr>
              <w:widowControl w:val="0"/>
              <w:numPr>
                <w:ilvl w:val="0"/>
                <w:numId w:val="0"/>
              </w:numPr>
              <w:wordWrap/>
              <w:adjustRightInd/>
              <w:snapToGrid/>
              <w:jc w:val="left"/>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产品已全部销售，已无法追回已销售的产品。</w:t>
            </w:r>
          </w:p>
        </w:tc>
        <w:tc>
          <w:tcPr>
            <w:tcW w:w="1845" w:type="dxa"/>
            <w:vAlign w:val="center"/>
          </w:tcPr>
          <w:p>
            <w:pPr>
              <w:widowControl w:val="0"/>
              <w:numPr>
                <w:ilvl w:val="0"/>
                <w:numId w:val="0"/>
              </w:numPr>
              <w:wordWrap/>
              <w:adjustRightInd/>
              <w:snapToGrid/>
              <w:jc w:val="both"/>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封存并没该产品，监督销毁或作必技术处理；处以进口产品货值金额40%-</w:t>
            </w:r>
          </w:p>
          <w:p>
            <w:pPr>
              <w:widowControl w:val="0"/>
              <w:numPr>
                <w:ilvl w:val="0"/>
                <w:numId w:val="0"/>
              </w:numPr>
              <w:wordWrap/>
              <w:adjustRightInd/>
              <w:snapToGrid/>
              <w:jc w:val="both"/>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50%的罚款；对有关责任者处以3000-5000元罚款。</w:t>
            </w:r>
          </w:p>
        </w:tc>
        <w:tc>
          <w:tcPr>
            <w:tcW w:w="375" w:type="dxa"/>
            <w:vAlign w:val="center"/>
          </w:tcPr>
          <w:p>
            <w:pPr>
              <w:widowControl w:val="0"/>
              <w:numPr>
                <w:ilvl w:val="0"/>
                <w:numId w:val="0"/>
              </w:numPr>
              <w:wordWrap/>
              <w:adjustRightInd/>
              <w:snapToGrid/>
              <w:jc w:val="center"/>
              <w:textAlignment w:val="auto"/>
              <w:rPr>
                <w:rFonts w:hint="default" w:ascii="Times New Roman" w:hAnsi="Times New Roman" w:eastAsia="仿宋_GB2312" w:cs="Times New Roman"/>
                <w:b w:val="0"/>
                <w:bCs w:val="0"/>
                <w:sz w:val="24"/>
                <w:szCs w:val="24"/>
                <w:lang w:val="en-US" w:eastAsia="zh-CN"/>
              </w:rPr>
            </w:pPr>
          </w:p>
        </w:tc>
      </w:tr>
    </w:tbl>
    <w:p>
      <w:pPr>
        <w:tabs>
          <w:tab w:val="left" w:pos="2757"/>
        </w:tabs>
        <w:jc w:val="left"/>
        <w:sectPr>
          <w:pgSz w:w="16838" w:h="11906" w:orient="landscape"/>
          <w:pgMar w:top="1440" w:right="1080" w:bottom="1440" w:left="1080" w:header="851" w:footer="992" w:gutter="0"/>
          <w:pgNumType w:fmt="numberInDash"/>
          <w:cols w:space="720" w:num="1"/>
          <w:rtlGutter w:val="0"/>
          <w:docGrid w:type="lines" w:linePitch="312"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decimal"/>
      <w:lvlText w:val="%1."/>
      <w:lvlJc w:val="left"/>
      <w:pPr>
        <w:tabs>
          <w:tab w:val="left" w:pos="312"/>
        </w:tabs>
      </w:pPr>
    </w:lvl>
  </w:abstractNum>
  <w:abstractNum w:abstractNumId="1">
    <w:nsid w:val="0000000A"/>
    <w:multiLevelType w:val="singleLevel"/>
    <w:tmpl w:val="0000000A"/>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022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2021-11-10T03:51:50Z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C4565C606098436EA66E53CCACBF3E64</vt:lpwstr>
  </property>
</Properties>
</file>