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宁武县</w:t>
      </w:r>
      <w:r>
        <w:rPr>
          <w:rFonts w:hint="eastAsia" w:ascii="方正小标宋简体" w:hAnsi="方正小标宋简体" w:eastAsia="方正小标宋简体" w:cs="方正小标宋简体"/>
          <w:sz w:val="44"/>
          <w:szCs w:val="44"/>
        </w:rPr>
        <w:t>“十四五”残疾人保障和发展规划</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为深入贯彻习近平总书记关于残疾人事业的重要指示批示精神，认真落实</w:t>
      </w:r>
      <w:r>
        <w:rPr>
          <w:rFonts w:hint="default" w:ascii="Times New Roman" w:hAnsi="Times New Roman" w:eastAsia="仿宋_GB2312" w:cs="Times New Roman"/>
          <w:sz w:val="32"/>
          <w:szCs w:val="32"/>
          <w:lang w:eastAsia="zh-CN"/>
        </w:rPr>
        <w:t>省委、省政府和县</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政府决策部署，根据《山西省“十四五”残疾人保障</w:t>
      </w:r>
      <w:bookmarkStart w:id="0" w:name="_GoBack"/>
      <w:bookmarkEnd w:id="0"/>
      <w:r>
        <w:rPr>
          <w:rFonts w:hint="default" w:ascii="Times New Roman" w:hAnsi="Times New Roman" w:eastAsia="仿宋_GB2312" w:cs="Times New Roman"/>
          <w:sz w:val="32"/>
          <w:szCs w:val="32"/>
        </w:rPr>
        <w:t>和发展规划》和《</w:t>
      </w:r>
      <w:r>
        <w:rPr>
          <w:rFonts w:hint="default" w:ascii="Times New Roman" w:hAnsi="Times New Roman" w:eastAsia="仿宋_GB2312" w:cs="Times New Roman"/>
          <w:sz w:val="32"/>
          <w:szCs w:val="32"/>
          <w:lang w:eastAsia="zh-CN"/>
        </w:rPr>
        <w:t>宁武县</w:t>
      </w:r>
      <w:r>
        <w:rPr>
          <w:rFonts w:hint="default" w:ascii="Times New Roman" w:hAnsi="Times New Roman" w:eastAsia="仿宋_GB2312" w:cs="Times New Roman"/>
          <w:sz w:val="32"/>
          <w:szCs w:val="32"/>
        </w:rPr>
        <w:t>国民经济和社会发展第十四个五年规划和2035年远景目标纲要》，</w:t>
      </w:r>
      <w:r>
        <w:rPr>
          <w:rFonts w:hint="default" w:ascii="Times New Roman" w:hAnsi="Times New Roman" w:eastAsia="仿宋_GB2312" w:cs="Times New Roman"/>
          <w:sz w:val="32"/>
          <w:szCs w:val="32"/>
          <w:lang w:eastAsia="zh-CN"/>
        </w:rPr>
        <w:t>编</w:t>
      </w:r>
      <w:r>
        <w:rPr>
          <w:rFonts w:hint="default" w:ascii="Times New Roman" w:hAnsi="Times New Roman" w:eastAsia="仿宋_GB2312" w:cs="Times New Roman"/>
          <w:sz w:val="32"/>
          <w:szCs w:val="32"/>
        </w:rPr>
        <w:t>制本规划。</w:t>
      </w:r>
    </w:p>
    <w:p>
      <w:pPr>
        <w:ind w:firstLine="640" w:firstLineChars="200"/>
        <w:rPr>
          <w:rFonts w:hint="default" w:ascii="Times New Roman" w:hAnsi="Times New Roman" w:eastAsia="CESI黑体-GB2312" w:cs="Times New Roman"/>
          <w:sz w:val="32"/>
          <w:szCs w:val="32"/>
          <w:lang w:eastAsia="zh-CN"/>
        </w:rPr>
      </w:pPr>
      <w:r>
        <w:rPr>
          <w:rFonts w:hint="default" w:ascii="Times New Roman" w:hAnsi="Times New Roman" w:eastAsia="CESI黑体-GB2312" w:cs="Times New Roman"/>
          <w:sz w:val="32"/>
          <w:szCs w:val="32"/>
          <w:lang w:eastAsia="zh-CN"/>
        </w:rPr>
        <w:t>一、发展现状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残疾人事业是中国特色社会主义事业的重要组成部分，扶残助残是社会文明进步的重要标志</w:t>
      </w:r>
      <w:r>
        <w:rPr>
          <w:rFonts w:hint="default" w:ascii="Times New Roman" w:hAnsi="Times New Roman" w:eastAsia="仿宋_GB2312" w:cs="Times New Roman"/>
          <w:sz w:val="32"/>
          <w:szCs w:val="32"/>
          <w:lang w:eastAsia="zh-CN"/>
        </w:rPr>
        <w:t>之一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w:t>
      </w:r>
      <w:r>
        <w:rPr>
          <w:rFonts w:hint="default" w:ascii="Times New Roman" w:hAnsi="Times New Roman" w:eastAsia="仿宋_GB2312" w:cs="Times New Roman"/>
          <w:sz w:val="32"/>
          <w:szCs w:val="32"/>
          <w:lang w:eastAsia="zh-CN"/>
        </w:rPr>
        <w:t>历来</w:t>
      </w:r>
      <w:r>
        <w:rPr>
          <w:rFonts w:hint="default" w:ascii="Times New Roman" w:hAnsi="Times New Roman" w:eastAsia="仿宋_GB2312" w:cs="Times New Roman"/>
          <w:sz w:val="32"/>
          <w:szCs w:val="32"/>
        </w:rPr>
        <w:t>高度重视残疾人事业发展。“十三五”时期，全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lang w:val="en-US" w:eastAsia="zh-CN"/>
        </w:rPr>
        <w:t>3245</w:t>
      </w:r>
      <w:r>
        <w:rPr>
          <w:rFonts w:hint="default" w:ascii="Times New Roman" w:hAnsi="Times New Roman" w:eastAsia="仿宋_GB2312" w:cs="Times New Roman"/>
          <w:sz w:val="32"/>
          <w:szCs w:val="32"/>
        </w:rPr>
        <w:t>名建档立卡贫困残疾人脱贫，新增残疾人就业</w:t>
      </w:r>
      <w:r>
        <w:rPr>
          <w:rFonts w:hint="default" w:ascii="Times New Roman" w:hAnsi="Times New Roman" w:eastAsia="仿宋_GB2312" w:cs="Times New Roman"/>
          <w:sz w:val="32"/>
          <w:szCs w:val="32"/>
          <w:lang w:val="en-US" w:eastAsia="zh-CN"/>
        </w:rPr>
        <w:t>118</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val="en-US" w:eastAsia="zh-CN"/>
        </w:rPr>
        <w:t>2070名</w:t>
      </w:r>
      <w:r>
        <w:rPr>
          <w:rFonts w:hint="default" w:ascii="Times New Roman" w:hAnsi="Times New Roman" w:eastAsia="仿宋_GB2312" w:cs="Times New Roman"/>
          <w:sz w:val="32"/>
          <w:szCs w:val="32"/>
        </w:rPr>
        <w:t>困难残疾人得到生活补贴，</w:t>
      </w:r>
      <w:r>
        <w:rPr>
          <w:rFonts w:hint="default" w:ascii="Times New Roman" w:hAnsi="Times New Roman" w:eastAsia="仿宋_GB2312" w:cs="Times New Roman"/>
          <w:sz w:val="32"/>
          <w:szCs w:val="32"/>
          <w:lang w:val="en-US" w:eastAsia="zh-CN"/>
        </w:rPr>
        <w:t>2967名</w:t>
      </w:r>
      <w:r>
        <w:rPr>
          <w:rFonts w:hint="default" w:ascii="Times New Roman" w:hAnsi="Times New Roman" w:eastAsia="仿宋_GB2312" w:cs="Times New Roman"/>
          <w:sz w:val="32"/>
          <w:szCs w:val="32"/>
        </w:rPr>
        <w:t>重度残疾人得到护理补贴。残疾人基本康复服务覆盖率和基本辅助器具适配率均达到80%以上。残疾儿童少年接受义务教育率达到95%以上。城乡无障碍环境明显改善，关爱帮助残疾人的社会氛围日益浓厚，残疾人和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人民一道共同迈入了全面小康社会。“十四五”时期，是</w:t>
      </w:r>
      <w:r>
        <w:rPr>
          <w:rFonts w:hint="default" w:ascii="Times New Roman" w:hAnsi="Times New Roman" w:eastAsia="仿宋_GB2312" w:cs="Times New Roman"/>
          <w:sz w:val="32"/>
          <w:szCs w:val="32"/>
          <w:lang w:eastAsia="zh-CN"/>
        </w:rPr>
        <w:t>宁武县</w:t>
      </w:r>
      <w:r>
        <w:rPr>
          <w:rFonts w:hint="default" w:ascii="Times New Roman" w:hAnsi="Times New Roman" w:eastAsia="仿宋_GB2312" w:cs="Times New Roman"/>
          <w:sz w:val="32"/>
          <w:szCs w:val="32"/>
        </w:rPr>
        <w:t>蹚出全面转型之路的战略机遇期，也是全方位推动全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残疾人事业高质量发展的重要时期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要继续加快发展残疾人事业，深入贯彻</w:t>
      </w:r>
      <w:r>
        <w:rPr>
          <w:rFonts w:hint="default" w:ascii="Times New Roman" w:hAnsi="Times New Roman" w:eastAsia="仿宋_GB2312" w:cs="Times New Roman"/>
          <w:sz w:val="32"/>
          <w:szCs w:val="32"/>
          <w:lang w:eastAsia="zh-CN"/>
        </w:rPr>
        <w:t>全方位推动</w:t>
      </w:r>
      <w:r>
        <w:rPr>
          <w:rFonts w:hint="default" w:ascii="Times New Roman" w:hAnsi="Times New Roman" w:eastAsia="仿宋_GB2312" w:cs="Times New Roman"/>
          <w:sz w:val="32"/>
          <w:szCs w:val="32"/>
        </w:rPr>
        <w:t>高质量发展的政策方针，团结带领广大残疾人开启中国特色社会主义现代化建设新篇章新征程。</w:t>
      </w:r>
    </w:p>
    <w:p>
      <w:pPr>
        <w:numPr>
          <w:ilvl w:val="0"/>
          <w:numId w:val="0"/>
        </w:num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总体要求</w:t>
      </w:r>
    </w:p>
    <w:p>
      <w:pPr>
        <w:ind w:firstLine="640" w:firstLineChars="200"/>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（一）指导思想</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以习近平新时代中国特色社会主义思想为指导，深入贯彻党的十九大和十九届历次全会精神，</w:t>
      </w:r>
      <w:r>
        <w:rPr>
          <w:rFonts w:hint="default" w:ascii="Times New Roman" w:hAnsi="Times New Roman" w:eastAsia="仿宋_GB2312" w:cs="Times New Roman"/>
          <w:sz w:val="32"/>
          <w:szCs w:val="32"/>
          <w:lang w:eastAsia="zh-CN"/>
        </w:rPr>
        <w:t>特别是</w:t>
      </w:r>
      <w:r>
        <w:rPr>
          <w:rFonts w:hint="default" w:ascii="Times New Roman" w:hAnsi="Times New Roman" w:eastAsia="仿宋_GB2312" w:cs="Times New Roman"/>
          <w:sz w:val="32"/>
          <w:szCs w:val="32"/>
        </w:rPr>
        <w:t>习近平总书记视察山西重要讲话重要指示</w:t>
      </w:r>
      <w:r>
        <w:rPr>
          <w:rFonts w:hint="default" w:ascii="Times New Roman" w:hAnsi="Times New Roman" w:eastAsia="仿宋_GB2312" w:cs="Times New Roman"/>
          <w:sz w:val="32"/>
          <w:szCs w:val="32"/>
          <w:lang w:eastAsia="zh-CN"/>
        </w:rPr>
        <w:t>精神</w:t>
      </w:r>
      <w:r>
        <w:rPr>
          <w:rFonts w:hint="default" w:ascii="Times New Roman" w:hAnsi="Times New Roman" w:eastAsia="仿宋_GB2312" w:cs="Times New Roman"/>
          <w:sz w:val="32"/>
          <w:szCs w:val="32"/>
        </w:rPr>
        <w:t>，坚持以人民为中心的发展思想，巩固拓展残疾人脱贫攻坚成果，促进残疾人全面发展和共同富裕。</w:t>
      </w:r>
    </w:p>
    <w:p>
      <w:pPr>
        <w:tabs>
          <w:tab w:val="left" w:pos="793"/>
        </w:tabs>
        <w:ind w:firstLine="640" w:firstLineChars="200"/>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（二）基本原则</w:t>
      </w:r>
    </w:p>
    <w:p>
      <w:pPr>
        <w:tabs>
          <w:tab w:val="left" w:pos="793"/>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坚持党的全面领导。完善党委领导、政府负责的残疾人工作领导体制，为残疾人保障和发展提供坚强的政治保障和组织保障。</w:t>
      </w:r>
    </w:p>
    <w:p>
      <w:pPr>
        <w:tabs>
          <w:tab w:val="left" w:pos="793"/>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坚持以人民为中心。解决好残疾人最关心、最直接、最现实的利益问题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激发残疾人的积极性、主动性、创造性，不断增强残疾人的获得感、幸福感、安全感。</w:t>
      </w:r>
    </w:p>
    <w:p>
      <w:pPr>
        <w:tabs>
          <w:tab w:val="left" w:pos="793"/>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坚持兜底保障。加快补短板、强弱项、固根基，完善残疾人社会福利制度和关爱服务体系，兜牢残疾人民生保障安全网，促进残疾人共享经济社会发展成果。</w:t>
      </w:r>
    </w:p>
    <w:p>
      <w:pPr>
        <w:tabs>
          <w:tab w:val="left" w:pos="793"/>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坚持协调发展。发挥政府主导作用和社会力量、</w:t>
      </w:r>
      <w:r>
        <w:rPr>
          <w:rFonts w:hint="default" w:ascii="Times New Roman" w:hAnsi="Times New Roman" w:eastAsia="仿宋_GB2312" w:cs="Times New Roman"/>
          <w:sz w:val="32"/>
          <w:szCs w:val="32"/>
          <w:lang w:eastAsia="zh-CN"/>
        </w:rPr>
        <w:t>市场</w:t>
      </w:r>
      <w:r>
        <w:rPr>
          <w:rFonts w:hint="default" w:ascii="Times New Roman" w:hAnsi="Times New Roman" w:eastAsia="仿宋_GB2312" w:cs="Times New Roman"/>
          <w:sz w:val="32"/>
          <w:szCs w:val="32"/>
        </w:rPr>
        <w:t>主体协同作用，整合资源、集成政策、优化服务，促进残疾人事业更加均衡、更加充分、更可持续。</w:t>
      </w:r>
    </w:p>
    <w:p>
      <w:pPr>
        <w:ind w:firstLine="640" w:firstLineChars="200"/>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（三）主要目标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到2025年，残疾人脱贫攻坚成果巩固拓展，生活品质得到新改善，民生福祉达到新水平。</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——多层次残疾人社会保障体系更加完善。残疾人社会保障水平明显提高，残疾人基本民生得到持续改善，重度残疾人得到更好照护。</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——多形式残疾人就业支持体系基本形成。残疾人就业规模不断扩大，残疾人实现高质量就业。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——均等化残疾人基本公共服务体系更加完备。残疾预防和残疾人康复全面加强，残疾人思想道德素养、科学文化素质和身心健康水平明显提高，无障碍社会环境持续优化。</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——残疾人事业发展基础更加牢固。残疾人组织建设得到加强，残疾人参与社会能力明显提高，残疾人法治体系更加健全。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到2035年，残疾人事业与全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经济社会协调发展，残疾人物质生活更加宽裕，残疾人精神生活更加丰富，残疾人公共服务体系全面优化，残疾人合法权益得到保障，残疾人融合发展深度推进，基本实现残疾人事业现代化。</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5175"/>
        <w:gridCol w:w="1437"/>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522" w:type="dxa"/>
            <w:gridSpan w:val="4"/>
            <w:vAlign w:val="center"/>
          </w:tcPr>
          <w:p>
            <w:pPr>
              <w:jc w:val="center"/>
              <w:rPr>
                <w:rFonts w:hint="default" w:ascii="Times New Roman" w:hAnsi="Times New Roman" w:eastAsia="华文宋体" w:cs="Times New Roman"/>
                <w:sz w:val="24"/>
              </w:rPr>
            </w:pPr>
            <w:r>
              <w:rPr>
                <w:rFonts w:hint="default" w:ascii="Times New Roman" w:hAnsi="Times New Roman" w:eastAsia="华文宋体" w:cs="Times New Roman"/>
                <w:b/>
                <w:bCs/>
                <w:sz w:val="28"/>
                <w:szCs w:val="28"/>
              </w:rPr>
              <w:t xml:space="preserve"> </w:t>
            </w:r>
            <w:r>
              <w:rPr>
                <w:rFonts w:hint="default" w:ascii="Times New Roman" w:hAnsi="Times New Roman" w:eastAsia="华文宋体" w:cs="Times New Roman"/>
                <w:b/>
                <w:bCs/>
                <w:sz w:val="28"/>
                <w:szCs w:val="28"/>
                <w:lang w:eastAsia="zh-CN"/>
              </w:rPr>
              <w:t>宁武县</w:t>
            </w:r>
            <w:r>
              <w:rPr>
                <w:rFonts w:hint="default" w:ascii="Times New Roman" w:hAnsi="Times New Roman" w:eastAsia="华文宋体" w:cs="Times New Roman"/>
                <w:b/>
                <w:bCs/>
                <w:sz w:val="28"/>
                <w:szCs w:val="28"/>
              </w:rPr>
              <w:t>“十四五”残疾人保障和发展主要指标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trPr>
        <w:tc>
          <w:tcPr>
            <w:tcW w:w="949" w:type="dxa"/>
            <w:vAlign w:val="center"/>
          </w:tcPr>
          <w:p>
            <w:pPr>
              <w:jc w:val="center"/>
              <w:rPr>
                <w:rFonts w:hint="default" w:ascii="Times New Roman" w:hAnsi="Times New Roman" w:eastAsia="华文宋体" w:cs="Times New Roman"/>
                <w:b/>
                <w:bCs/>
                <w:sz w:val="24"/>
              </w:rPr>
            </w:pPr>
            <w:r>
              <w:rPr>
                <w:rFonts w:hint="default" w:ascii="Times New Roman" w:hAnsi="Times New Roman" w:eastAsia="华文宋体" w:cs="Times New Roman"/>
                <w:b/>
                <w:bCs/>
                <w:sz w:val="24"/>
              </w:rPr>
              <w:t>类 别</w:t>
            </w:r>
          </w:p>
        </w:tc>
        <w:tc>
          <w:tcPr>
            <w:tcW w:w="5175" w:type="dxa"/>
            <w:vAlign w:val="center"/>
          </w:tcPr>
          <w:p>
            <w:pPr>
              <w:jc w:val="center"/>
              <w:rPr>
                <w:rFonts w:hint="default" w:ascii="Times New Roman" w:hAnsi="Times New Roman" w:eastAsia="华文宋体" w:cs="Times New Roman"/>
                <w:b/>
                <w:bCs/>
                <w:sz w:val="24"/>
              </w:rPr>
            </w:pPr>
            <w:r>
              <w:rPr>
                <w:rFonts w:hint="default" w:ascii="Times New Roman" w:hAnsi="Times New Roman" w:eastAsia="华文宋体" w:cs="Times New Roman"/>
                <w:b/>
                <w:bCs/>
                <w:sz w:val="24"/>
              </w:rPr>
              <w:t>指    标</w:t>
            </w:r>
          </w:p>
        </w:tc>
        <w:tc>
          <w:tcPr>
            <w:tcW w:w="1437" w:type="dxa"/>
            <w:vAlign w:val="center"/>
          </w:tcPr>
          <w:p>
            <w:pPr>
              <w:jc w:val="center"/>
              <w:rPr>
                <w:rFonts w:hint="default" w:ascii="Times New Roman" w:hAnsi="Times New Roman" w:eastAsia="华文宋体" w:cs="Times New Roman"/>
                <w:b/>
                <w:bCs/>
                <w:sz w:val="24"/>
              </w:rPr>
            </w:pPr>
            <w:r>
              <w:rPr>
                <w:rFonts w:hint="default" w:ascii="Times New Roman" w:hAnsi="Times New Roman" w:eastAsia="华文宋体" w:cs="Times New Roman"/>
                <w:b/>
                <w:bCs/>
                <w:sz w:val="24"/>
              </w:rPr>
              <w:t>2025年</w:t>
            </w:r>
          </w:p>
        </w:tc>
        <w:tc>
          <w:tcPr>
            <w:tcW w:w="961" w:type="dxa"/>
            <w:vAlign w:val="center"/>
          </w:tcPr>
          <w:p>
            <w:pPr>
              <w:jc w:val="center"/>
              <w:rPr>
                <w:rFonts w:hint="default" w:ascii="Times New Roman" w:hAnsi="Times New Roman" w:eastAsia="华文宋体" w:cs="Times New Roman"/>
                <w:b/>
                <w:bCs/>
                <w:sz w:val="24"/>
              </w:rPr>
            </w:pPr>
            <w:r>
              <w:rPr>
                <w:rFonts w:hint="default" w:ascii="Times New Roman" w:hAnsi="Times New Roman" w:eastAsia="华文宋体" w:cs="Times New Roman"/>
                <w:b/>
                <w:bCs/>
                <w:sz w:val="24"/>
              </w:rPr>
              <w:t>属 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trPr>
        <w:tc>
          <w:tcPr>
            <w:tcW w:w="949"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收入和就业</w:t>
            </w:r>
          </w:p>
        </w:tc>
        <w:tc>
          <w:tcPr>
            <w:tcW w:w="5175" w:type="dxa"/>
            <w:vAlign w:val="center"/>
          </w:tcPr>
          <w:p>
            <w:pPr>
              <w:spacing w:line="3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残疾人家庭人均收入年均增速（%）</w:t>
            </w:r>
          </w:p>
        </w:tc>
        <w:tc>
          <w:tcPr>
            <w:tcW w:w="1437"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与全</w:t>
            </w:r>
            <w:r>
              <w:rPr>
                <w:rFonts w:hint="default" w:ascii="Times New Roman" w:hAnsi="Times New Roman" w:eastAsia="仿宋_GB2312" w:cs="Times New Roman"/>
                <w:sz w:val="24"/>
                <w:lang w:eastAsia="zh-CN"/>
              </w:rPr>
              <w:t>县</w:t>
            </w:r>
            <w:r>
              <w:rPr>
                <w:rFonts w:hint="default" w:ascii="Times New Roman" w:hAnsi="Times New Roman" w:eastAsia="仿宋_GB2312" w:cs="Times New Roman"/>
                <w:sz w:val="24"/>
              </w:rPr>
              <w:t>地区生产总值增长同步</w:t>
            </w:r>
          </w:p>
        </w:tc>
        <w:tc>
          <w:tcPr>
            <w:tcW w:w="961"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exact"/>
        </w:trPr>
        <w:tc>
          <w:tcPr>
            <w:tcW w:w="949" w:type="dxa"/>
            <w:vMerge w:val="continue"/>
            <w:vAlign w:val="center"/>
          </w:tcPr>
          <w:p>
            <w:pPr>
              <w:jc w:val="center"/>
              <w:rPr>
                <w:rFonts w:hint="default" w:ascii="Times New Roman" w:hAnsi="Times New Roman" w:eastAsia="仿宋_GB2312" w:cs="Times New Roman"/>
                <w:sz w:val="24"/>
              </w:rPr>
            </w:pPr>
          </w:p>
        </w:tc>
        <w:tc>
          <w:tcPr>
            <w:tcW w:w="5175" w:type="dxa"/>
            <w:vAlign w:val="center"/>
          </w:tcPr>
          <w:p>
            <w:pPr>
              <w:spacing w:line="3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城乡残疾人职业技能培训人数（人）</w:t>
            </w:r>
          </w:p>
        </w:tc>
        <w:tc>
          <w:tcPr>
            <w:tcW w:w="1437" w:type="dxa"/>
            <w:vAlign w:val="center"/>
          </w:tcPr>
          <w:p>
            <w:pPr>
              <w:spacing w:line="36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150</w:t>
            </w:r>
          </w:p>
        </w:tc>
        <w:tc>
          <w:tcPr>
            <w:tcW w:w="961"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949"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社会保障和基本公共服务</w:t>
            </w:r>
          </w:p>
        </w:tc>
        <w:tc>
          <w:tcPr>
            <w:tcW w:w="5175" w:type="dxa"/>
            <w:vAlign w:val="center"/>
          </w:tcPr>
          <w:p>
            <w:pPr>
              <w:spacing w:line="32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符合条件的残疾人纳入最低生活保障比例（%）</w:t>
            </w:r>
          </w:p>
        </w:tc>
        <w:tc>
          <w:tcPr>
            <w:tcW w:w="1437" w:type="dxa"/>
            <w:vAlign w:val="center"/>
          </w:tcPr>
          <w:p>
            <w:pPr>
              <w:spacing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50</w:t>
            </w:r>
          </w:p>
        </w:tc>
        <w:tc>
          <w:tcPr>
            <w:tcW w:w="961"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 w:type="dxa"/>
            <w:vMerge w:val="continue"/>
            <w:vAlign w:val="center"/>
          </w:tcPr>
          <w:p>
            <w:pPr>
              <w:jc w:val="center"/>
              <w:rPr>
                <w:rFonts w:hint="default" w:ascii="Times New Roman" w:hAnsi="Times New Roman" w:eastAsia="CESI仿宋-GB2312" w:cs="Times New Roman"/>
                <w:sz w:val="24"/>
              </w:rPr>
            </w:pPr>
          </w:p>
        </w:tc>
        <w:tc>
          <w:tcPr>
            <w:tcW w:w="5175" w:type="dxa"/>
            <w:vAlign w:val="center"/>
          </w:tcPr>
          <w:p>
            <w:pPr>
              <w:spacing w:line="32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困难残疾人生活补贴覆盖率（%）</w:t>
            </w:r>
          </w:p>
        </w:tc>
        <w:tc>
          <w:tcPr>
            <w:tcW w:w="1437"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961"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 w:type="dxa"/>
            <w:vMerge w:val="continue"/>
            <w:vAlign w:val="center"/>
          </w:tcPr>
          <w:p>
            <w:pPr>
              <w:jc w:val="center"/>
              <w:rPr>
                <w:rFonts w:hint="default" w:ascii="Times New Roman" w:hAnsi="Times New Roman" w:eastAsia="CESI仿宋-GB2312" w:cs="Times New Roman"/>
                <w:sz w:val="24"/>
              </w:rPr>
            </w:pPr>
          </w:p>
        </w:tc>
        <w:tc>
          <w:tcPr>
            <w:tcW w:w="5175" w:type="dxa"/>
            <w:vAlign w:val="center"/>
          </w:tcPr>
          <w:p>
            <w:pPr>
              <w:spacing w:line="32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重度残疾人护理补贴覆盖率（%）</w:t>
            </w:r>
          </w:p>
        </w:tc>
        <w:tc>
          <w:tcPr>
            <w:tcW w:w="1437"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961"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 w:type="dxa"/>
            <w:vMerge w:val="continue"/>
            <w:vAlign w:val="center"/>
          </w:tcPr>
          <w:p>
            <w:pPr>
              <w:jc w:val="center"/>
              <w:rPr>
                <w:rFonts w:hint="default" w:ascii="Times New Roman" w:hAnsi="Times New Roman" w:eastAsia="CESI仿宋-GB2312" w:cs="Times New Roman"/>
                <w:sz w:val="24"/>
              </w:rPr>
            </w:pPr>
          </w:p>
        </w:tc>
        <w:tc>
          <w:tcPr>
            <w:tcW w:w="5175" w:type="dxa"/>
            <w:vAlign w:val="center"/>
          </w:tcPr>
          <w:p>
            <w:pPr>
              <w:spacing w:line="32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残疾人城乡居民基本养老保险参保率（%）</w:t>
            </w:r>
          </w:p>
        </w:tc>
        <w:tc>
          <w:tcPr>
            <w:tcW w:w="1437"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&gt;90</w:t>
            </w:r>
          </w:p>
        </w:tc>
        <w:tc>
          <w:tcPr>
            <w:tcW w:w="961"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 w:type="dxa"/>
            <w:vMerge w:val="continue"/>
            <w:vAlign w:val="center"/>
          </w:tcPr>
          <w:p>
            <w:pPr>
              <w:jc w:val="center"/>
              <w:rPr>
                <w:rFonts w:hint="default" w:ascii="Times New Roman" w:hAnsi="Times New Roman" w:eastAsia="CESI仿宋-GB2312" w:cs="Times New Roman"/>
                <w:sz w:val="24"/>
              </w:rPr>
            </w:pPr>
          </w:p>
        </w:tc>
        <w:tc>
          <w:tcPr>
            <w:tcW w:w="5175" w:type="dxa"/>
            <w:vAlign w:val="center"/>
          </w:tcPr>
          <w:p>
            <w:pPr>
              <w:spacing w:line="32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7</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残疾人城乡居民基本医疗保险参保率（%）</w:t>
            </w:r>
          </w:p>
        </w:tc>
        <w:tc>
          <w:tcPr>
            <w:tcW w:w="1437"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&gt;95</w:t>
            </w:r>
          </w:p>
        </w:tc>
        <w:tc>
          <w:tcPr>
            <w:tcW w:w="961"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 w:type="dxa"/>
            <w:vMerge w:val="continue"/>
            <w:vAlign w:val="center"/>
          </w:tcPr>
          <w:p>
            <w:pPr>
              <w:jc w:val="center"/>
              <w:rPr>
                <w:rFonts w:hint="default" w:ascii="Times New Roman" w:hAnsi="Times New Roman" w:eastAsia="CESI仿宋-GB2312" w:cs="Times New Roman"/>
                <w:sz w:val="24"/>
              </w:rPr>
            </w:pPr>
          </w:p>
        </w:tc>
        <w:tc>
          <w:tcPr>
            <w:tcW w:w="5175" w:type="dxa"/>
            <w:vAlign w:val="center"/>
          </w:tcPr>
          <w:p>
            <w:pPr>
              <w:spacing w:line="32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8</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残疾儿童少年义务教育入学率（%）</w:t>
            </w:r>
          </w:p>
        </w:tc>
        <w:tc>
          <w:tcPr>
            <w:tcW w:w="1437"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≥97</w:t>
            </w:r>
          </w:p>
        </w:tc>
        <w:tc>
          <w:tcPr>
            <w:tcW w:w="961"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trPr>
        <w:tc>
          <w:tcPr>
            <w:tcW w:w="949" w:type="dxa"/>
            <w:vMerge w:val="continue"/>
            <w:vAlign w:val="center"/>
          </w:tcPr>
          <w:p>
            <w:pPr>
              <w:jc w:val="center"/>
              <w:rPr>
                <w:rFonts w:hint="default" w:ascii="Times New Roman" w:hAnsi="Times New Roman" w:eastAsia="CESI仿宋-GB2312" w:cs="Times New Roman"/>
                <w:sz w:val="24"/>
              </w:rPr>
            </w:pPr>
          </w:p>
        </w:tc>
        <w:tc>
          <w:tcPr>
            <w:tcW w:w="5175" w:type="dxa"/>
            <w:vAlign w:val="center"/>
          </w:tcPr>
          <w:p>
            <w:pPr>
              <w:spacing w:line="3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9</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符合条件且有需求的残疾儿童和持证残疾人基本康复服务覆盖率（%）</w:t>
            </w:r>
          </w:p>
        </w:tc>
        <w:tc>
          <w:tcPr>
            <w:tcW w:w="1437"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≥85</w:t>
            </w:r>
          </w:p>
        </w:tc>
        <w:tc>
          <w:tcPr>
            <w:tcW w:w="961"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949" w:type="dxa"/>
            <w:vMerge w:val="continue"/>
            <w:vAlign w:val="center"/>
          </w:tcPr>
          <w:p>
            <w:pPr>
              <w:jc w:val="center"/>
              <w:rPr>
                <w:rFonts w:hint="default" w:ascii="Times New Roman" w:hAnsi="Times New Roman" w:eastAsia="CESI仿宋-GB2312" w:cs="Times New Roman"/>
                <w:sz w:val="24"/>
              </w:rPr>
            </w:pPr>
          </w:p>
        </w:tc>
        <w:tc>
          <w:tcPr>
            <w:tcW w:w="5175" w:type="dxa"/>
            <w:vAlign w:val="center"/>
          </w:tcPr>
          <w:p>
            <w:pPr>
              <w:spacing w:line="3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10</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符合条件且有需求的残疾儿童和持证残疾人辅助器具适配率（%）</w:t>
            </w:r>
          </w:p>
        </w:tc>
        <w:tc>
          <w:tcPr>
            <w:tcW w:w="1437"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≥85</w:t>
            </w:r>
          </w:p>
        </w:tc>
        <w:tc>
          <w:tcPr>
            <w:tcW w:w="961"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 w:type="dxa"/>
            <w:vMerge w:val="continue"/>
            <w:vAlign w:val="center"/>
          </w:tcPr>
          <w:p>
            <w:pPr>
              <w:jc w:val="center"/>
              <w:rPr>
                <w:rFonts w:hint="default" w:ascii="Times New Roman" w:hAnsi="Times New Roman" w:eastAsia="CESI仿宋-GB2312" w:cs="Times New Roman"/>
                <w:sz w:val="24"/>
              </w:rPr>
            </w:pPr>
          </w:p>
        </w:tc>
        <w:tc>
          <w:tcPr>
            <w:tcW w:w="5175" w:type="dxa"/>
            <w:vAlign w:val="center"/>
          </w:tcPr>
          <w:p>
            <w:pPr>
              <w:spacing w:line="3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11</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困难重度残疾人家庭无障碍改造数（户）</w:t>
            </w:r>
          </w:p>
        </w:tc>
        <w:tc>
          <w:tcPr>
            <w:tcW w:w="1437" w:type="dxa"/>
            <w:vAlign w:val="center"/>
          </w:tcPr>
          <w:p>
            <w:pPr>
              <w:spacing w:line="36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168</w:t>
            </w:r>
          </w:p>
        </w:tc>
        <w:tc>
          <w:tcPr>
            <w:tcW w:w="961" w:type="dxa"/>
            <w:vAlign w:val="center"/>
          </w:tcPr>
          <w:p>
            <w:pPr>
              <w:spacing w:line="3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约束性</w:t>
            </w:r>
          </w:p>
        </w:tc>
      </w:tr>
    </w:tbl>
    <w:p>
      <w:pPr>
        <w:spacing w:line="200" w:lineRule="exact"/>
        <w:jc w:val="left"/>
        <w:rPr>
          <w:rFonts w:hint="default" w:ascii="Times New Roman" w:hAnsi="Times New Roman" w:eastAsia="CESI仿宋-GB2312" w:cs="Times New Roman"/>
          <w:sz w:val="32"/>
          <w:szCs w:val="32"/>
        </w:rPr>
      </w:pPr>
    </w:p>
    <w:p>
      <w:pPr>
        <w:numPr>
          <w:ilvl w:val="0"/>
          <w:numId w:val="0"/>
        </w:num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主要任务</w:t>
      </w:r>
    </w:p>
    <w:p>
      <w:pPr>
        <w:ind w:firstLine="616" w:firstLineChars="200"/>
        <w:rPr>
          <w:rFonts w:hint="default" w:ascii="Times New Roman" w:hAnsi="Times New Roman" w:eastAsia="楷体" w:cs="Times New Roman"/>
          <w:b w:val="0"/>
          <w:bCs w:val="0"/>
          <w:spacing w:val="-6"/>
          <w:sz w:val="32"/>
          <w:szCs w:val="32"/>
        </w:rPr>
      </w:pPr>
      <w:r>
        <w:rPr>
          <w:rFonts w:hint="default" w:ascii="Times New Roman" w:hAnsi="Times New Roman" w:eastAsia="楷体" w:cs="Times New Roman"/>
          <w:b w:val="0"/>
          <w:bCs w:val="0"/>
          <w:spacing w:val="-6"/>
          <w:sz w:val="32"/>
          <w:szCs w:val="32"/>
        </w:rPr>
        <w:t>（一）巩固拓展残疾人脱贫攻坚成果同乡村振兴有效衔接</w:t>
      </w:r>
    </w:p>
    <w:p>
      <w:pPr>
        <w:spacing w:line="6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 w:eastAsia="zh-CN"/>
        </w:rPr>
        <w:t>严格</w:t>
      </w:r>
      <w:r>
        <w:rPr>
          <w:rFonts w:hint="default" w:ascii="Times New Roman" w:hAnsi="Times New Roman" w:eastAsia="仿宋_GB2312" w:cs="Times New Roman"/>
          <w:sz w:val="32"/>
          <w:szCs w:val="32"/>
          <w:lang w:val="en"/>
        </w:rPr>
        <w:t>落实“四个不摘”要求，</w:t>
      </w:r>
      <w:r>
        <w:rPr>
          <w:rFonts w:hint="default" w:ascii="Times New Roman" w:hAnsi="Times New Roman" w:eastAsia="仿宋_GB2312" w:cs="Times New Roman"/>
          <w:sz w:val="32"/>
          <w:szCs w:val="32"/>
        </w:rPr>
        <w:t>过渡期内保持帮扶政策总体稳定，</w:t>
      </w:r>
      <w:r>
        <w:rPr>
          <w:rFonts w:hint="default" w:ascii="Times New Roman" w:hAnsi="Times New Roman" w:eastAsia="仿宋_GB2312" w:cs="Times New Roman"/>
          <w:sz w:val="32"/>
          <w:szCs w:val="32"/>
          <w:lang w:eastAsia="zh-CN"/>
        </w:rPr>
        <w:t>持续</w:t>
      </w:r>
      <w:r>
        <w:rPr>
          <w:rFonts w:hint="default" w:ascii="Times New Roman" w:hAnsi="Times New Roman" w:eastAsia="仿宋_GB2312" w:cs="Times New Roman"/>
          <w:sz w:val="32"/>
          <w:szCs w:val="32"/>
        </w:rPr>
        <w:t>调整优化现有帮扶政策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健全</w:t>
      </w:r>
      <w:r>
        <w:rPr>
          <w:rFonts w:hint="default" w:ascii="Times New Roman" w:hAnsi="Times New Roman" w:eastAsia="仿宋_GB2312" w:cs="Times New Roman"/>
          <w:sz w:val="32"/>
          <w:szCs w:val="32"/>
          <w:lang w:eastAsia="zh-CN"/>
        </w:rPr>
        <w:t>完善</w:t>
      </w:r>
      <w:r>
        <w:rPr>
          <w:rFonts w:hint="default" w:ascii="Times New Roman" w:hAnsi="Times New Roman" w:eastAsia="仿宋_GB2312" w:cs="Times New Roman"/>
          <w:sz w:val="32"/>
          <w:szCs w:val="32"/>
        </w:rPr>
        <w:t>防止返贫动态监测和帮扶机制，对有返贫致贫风险的残疾人家庭早发现、早干预、早帮扶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对纳入监测范围的残疾人，在政策、项目、资金等方面给予支持，</w:t>
      </w:r>
      <w:r>
        <w:rPr>
          <w:rFonts w:hint="default" w:ascii="Times New Roman" w:hAnsi="Times New Roman" w:eastAsia="仿宋_GB2312" w:cs="Times New Roman"/>
          <w:sz w:val="32"/>
          <w:szCs w:val="32"/>
          <w:lang w:eastAsia="zh-CN"/>
        </w:rPr>
        <w:t>牢牢</w:t>
      </w:r>
      <w:r>
        <w:rPr>
          <w:rFonts w:hint="default" w:ascii="Times New Roman" w:hAnsi="Times New Roman" w:eastAsia="仿宋_GB2312" w:cs="Times New Roman"/>
          <w:sz w:val="32"/>
          <w:szCs w:val="32"/>
        </w:rPr>
        <w:t>守住残疾人不发生规模性返贫底线。加强数据交换共享，实时掌握困难残疾人生活补贴和重度残疾人护理补贴、城乡居民基本医疗保险、城乡居民基本养老保险、社会救助、危房改造等保障性政策落实情况，做到应保尽保、应兜尽兜。实施助残帮扶项目</w:t>
      </w:r>
      <w:r>
        <w:rPr>
          <w:rFonts w:hint="default" w:ascii="Times New Roman" w:hAnsi="Times New Roman" w:eastAsia="仿宋_GB2312" w:cs="Times New Roman"/>
          <w:sz w:val="32"/>
          <w:szCs w:val="32"/>
          <w:lang w:val="en"/>
        </w:rPr>
        <w:t>,增强残疾人就业增收能力</w:t>
      </w:r>
      <w:r>
        <w:rPr>
          <w:rFonts w:hint="default" w:ascii="Times New Roman" w:hAnsi="Times New Roman" w:eastAsia="仿宋_GB2312" w:cs="Times New Roman"/>
          <w:sz w:val="32"/>
          <w:szCs w:val="32"/>
        </w:rPr>
        <w:t>。完善利益联结机制，积极引导低收入残疾人家庭采取土地托管或林权、农村土地承包经营权入股等方式，参与乡村现代农业产业，分享产业链增值收益。充分发挥基层党组织、驻村第一书记和工作队在扶残助残中的重要作用。坚持和完善社会力量参与残疾人帮扶。（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乡村振兴局；参与单位：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委组织部、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自然资源</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住建</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卫健</w:t>
      </w:r>
      <w:r>
        <w:rPr>
          <w:rFonts w:hint="eastAsia" w:ascii="Times New Roman" w:hAnsi="Times New Roman" w:eastAsia="仿宋_GB2312" w:cs="Times New Roman"/>
          <w:sz w:val="32"/>
          <w:szCs w:val="32"/>
          <w:lang w:val="en-US" w:eastAsia="zh-CN"/>
        </w:rPr>
        <w:t>体</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医保局、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spacing w:line="660" w:lineRule="exact"/>
        <w:ind w:firstLine="640" w:firstLineChars="200"/>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rPr>
        <w:t>（二）完善残疾人民生保障体系，筑牢残疾人社会保障</w:t>
      </w:r>
      <w:r>
        <w:rPr>
          <w:rFonts w:hint="eastAsia" w:ascii="Times New Roman" w:hAnsi="Times New Roman" w:eastAsia="楷体" w:cs="Times New Roman"/>
          <w:b w:val="0"/>
          <w:bCs w:val="0"/>
          <w:sz w:val="32"/>
          <w:szCs w:val="32"/>
          <w:lang w:val="en-US" w:eastAsia="zh-CN"/>
        </w:rPr>
        <w:t>网</w:t>
      </w:r>
      <w:r>
        <w:rPr>
          <w:rFonts w:hint="default" w:ascii="Times New Roman" w:hAnsi="Times New Roman" w:eastAsia="楷体" w:cs="Times New Roman"/>
          <w:b w:val="0"/>
          <w:bCs w:val="0"/>
          <w:sz w:val="32"/>
          <w:szCs w:val="32"/>
          <w:lang w:eastAsia="zh-CN"/>
        </w:rPr>
        <w:t>底</w:t>
      </w:r>
    </w:p>
    <w:p>
      <w:pPr>
        <w:spacing w:line="6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健全残疾人社会救助和社会保障体系。</w:t>
      </w:r>
      <w:r>
        <w:rPr>
          <w:rFonts w:hint="default" w:ascii="Times New Roman" w:hAnsi="Times New Roman" w:eastAsia="仿宋_GB2312" w:cs="Times New Roman"/>
          <w:sz w:val="32"/>
          <w:szCs w:val="32"/>
        </w:rPr>
        <w:t>将符合条件的低收入家庭中一、二级重度残疾人和三级智力、精神残疾人纳入单独申请低保的范围，实现社会救助政策与残疾人帮扶政策相衔接，逐步扩大残疾人救助面。对于获得低保后生活仍有困难的重度残疾人，要按照不低于低保标准的5%</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10%的比例提高救助水平。及时将符合特困人员认定条件的残疾人纳入特困救助供养范围。加强对生活无着流浪乞讨残疾人的救助安置和寻亲服务。全面落实重度残疾人参加医疗保险个人缴费部分政府资助政策，逐步扩大享受资助残疾人范围。做好对符合条件残疾人的医疗救助，强化医疗救助与基本医疗保险、大病保险的互补衔接，减轻困难残疾人医疗费用负担。落实《山西省工伤预防五年行动计划</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2025年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施方案》（晋人社厅〔2021〕24号），加强工伤预防和工伤职工康复工作，健全以基本养老保险和医疗保险为主体，商业保险为补充的多元化残疾人社会保障体系。在重大疫情、自然灾害、安全事故等突发事件中做好困难残疾人的救助保护，及时给予临时救助，逐步提高临时救助标准。（责任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人社</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卫健</w:t>
      </w:r>
      <w:r>
        <w:rPr>
          <w:rFonts w:hint="eastAsia" w:ascii="Times New Roman" w:hAnsi="Times New Roman" w:eastAsia="仿宋_GB2312" w:cs="Times New Roman"/>
          <w:sz w:val="32"/>
          <w:szCs w:val="32"/>
          <w:lang w:val="en-US" w:eastAsia="zh-CN"/>
        </w:rPr>
        <w:t>体局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医保局、银保监</w:t>
      </w:r>
      <w:r>
        <w:rPr>
          <w:rFonts w:hint="eastAsia" w:ascii="Times New Roman" w:hAnsi="Times New Roman" w:eastAsia="仿宋_GB2312" w:cs="Times New Roman"/>
          <w:sz w:val="32"/>
          <w:szCs w:val="32"/>
          <w:lang w:val="en-US" w:eastAsia="zh-CN"/>
        </w:rPr>
        <w:t>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spacing w:line="6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rPr>
        <w:t>加快发展残疾人托养照护服务。建立残疾人长期照护服务体系，可通过政府购</w:t>
      </w:r>
      <w:r>
        <w:rPr>
          <w:rFonts w:hint="default" w:ascii="Times New Roman" w:hAnsi="Times New Roman" w:eastAsia="仿宋_GB2312" w:cs="Times New Roman"/>
          <w:sz w:val="32"/>
          <w:szCs w:val="32"/>
        </w:rPr>
        <w:t>买服务或引导志愿服务，对社会救助家庭中生活不能自理的残疾人提供必要的访视、照料服务，增强县级特困救助供养服务机构对残疾人特困对象的照护服务能力，实现与老年护理照料服务体系的衔接和资源共享。继续实施“阳光家园计划”项目和彩票公益金残疾人托养服务项目，提升为就业年龄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59周岁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智力、精神和重度肢体残疾人提供托养服务的能力，加强对托养服务机构的扶持，实施托养服务机构规范化建设，加强专业人员队伍建设，建立服务绩效评估体制。探索为残疾人提供多类型、差别化的居家托养服务。（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val="en"/>
        </w:rPr>
        <w:t>局</w:t>
      </w:r>
      <w:r>
        <w:rPr>
          <w:rFonts w:hint="eastAsia" w:ascii="Times New Roman" w:hAnsi="Times New Roman" w:eastAsia="仿宋_GB2312" w:cs="Times New Roman"/>
          <w:sz w:val="32"/>
          <w:szCs w:val="32"/>
          <w:lang w:eastAsia="zh-CN"/>
        </w:rPr>
        <w:t>）</w:t>
      </w:r>
    </w:p>
    <w:p>
      <w:pPr>
        <w:spacing w:line="6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rPr>
        <w:t>落实残疾人社会福利和社会优待政策。完</w:t>
      </w:r>
      <w:r>
        <w:rPr>
          <w:rFonts w:hint="default" w:ascii="Times New Roman" w:hAnsi="Times New Roman" w:eastAsia="仿宋_GB2312" w:cs="Times New Roman"/>
          <w:sz w:val="32"/>
          <w:szCs w:val="32"/>
        </w:rPr>
        <w:t>善困难残疾人生活补贴和重度残疾人护理补贴制度，落实补贴标准动态调整机制，加强残疾人两项补贴制度与其他制度的衔接，逐步扩大补贴对象覆盖面，做好资格认定申请“跨省通办”工作。落实残疾儿童康复救助制度，将符合条件的儿童福利机构纳入残疾儿童定点康复机构，并向困难家庭残疾儿童开放服务。落实低收入残疾人家庭生活用水、电、气、暖优惠补贴政策和电信业务资费优惠政策。落实残疾人机动轮椅车燃油补贴和残疾人驾驶机动车政策。落实持《中华人民共和国残疾人证》的残疾人在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范围内免费乘坐</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内公共汽车交通工具等优待政策，铁路、民航等为残疾人提供优惠便利。加强残疾孤儿、事实无人抚养残疾儿童医疗、康复、教育等服务，合理确定基本生活费标准，提升儿童福利机构安全管理水平和服务质量。加快建设精神卫生福利服务体系，为特殊困难精神残疾人提供康复、托养照护等服务。优先解决低收入残疾人家庭住房安全问题。持续支持符合条件的农村低收入残疾人家庭实施危房改造，对符合条件的城镇残疾人家庭优先配租公租房。落实残疾军人和伤残民警抚恤优待政策。做好残疾评定工作，为符合条件的残疾人残疾评定提供补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责任单位：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w:t>
      </w:r>
      <w:r>
        <w:rPr>
          <w:rFonts w:hint="eastAsia" w:ascii="Times New Roman" w:hAnsi="Times New Roman" w:eastAsia="仿宋_GB2312" w:cs="Times New Roman"/>
          <w:sz w:val="32"/>
          <w:szCs w:val="32"/>
          <w:lang w:val="en-US" w:eastAsia="zh-CN"/>
        </w:rPr>
        <w:t>科</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住建</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交通</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卫健</w:t>
      </w:r>
      <w:r>
        <w:rPr>
          <w:rFonts w:hint="eastAsia" w:ascii="Times New Roman" w:hAnsi="Times New Roman" w:eastAsia="仿宋_GB2312" w:cs="Times New Roman"/>
          <w:sz w:val="32"/>
          <w:szCs w:val="32"/>
          <w:lang w:val="en-US" w:eastAsia="zh-CN"/>
        </w:rPr>
        <w:t>体</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退役军人</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工信局、</w:t>
      </w:r>
      <w:r>
        <w:rPr>
          <w:rFonts w:hint="default" w:ascii="Times New Roman" w:hAnsi="Times New Roman" w:eastAsia="仿宋_GB2312" w:cs="Times New Roman"/>
          <w:sz w:val="32"/>
          <w:szCs w:val="32"/>
          <w:lang w:eastAsia="zh-CN"/>
        </w:rPr>
        <w:t>县财政局、县</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spacing w:line="6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加强突发公共事件中对残疾人的保护。制订</w:t>
      </w:r>
      <w:r>
        <w:rPr>
          <w:rFonts w:hint="default" w:ascii="Times New Roman" w:hAnsi="Times New Roman" w:eastAsia="仿宋_GB2312" w:cs="Times New Roman"/>
          <w:sz w:val="32"/>
          <w:szCs w:val="32"/>
        </w:rPr>
        <w:t>突发公共事件应急预案，把残疾人列为重大疫情、自然灾害、安全事故等突发公共事件中的重点社会支持和防护保护对象。对因疫情等突发公共事件隔离或照护人隔离而独自在家的残疾人，明确包保责任人，及时走访探视、提供必要帮助。加强残疾人集中场所和残疾人服务机构安全保障、应急服务、消防安全能力建设。</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村（社区）通过结对帮扶、科普宣传、应急处置演练等方式，积极协助残疾人应对突发事件，使残疾人在应对突发灾害事故中得到及时救助与疏散，提高残疾人自救互救能力。（牵头单位：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；参与单位：</w:t>
      </w:r>
      <w:r>
        <w:rPr>
          <w:rFonts w:hint="default"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lang w:val="en-US" w:eastAsia="zh-CN"/>
        </w:rPr>
        <w:t>教育科技发展中心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卫健</w:t>
      </w:r>
      <w:r>
        <w:rPr>
          <w:rFonts w:hint="eastAsia" w:ascii="Times New Roman" w:hAnsi="Times New Roman" w:eastAsia="仿宋_GB2312" w:cs="Times New Roman"/>
          <w:sz w:val="32"/>
          <w:szCs w:val="32"/>
          <w:lang w:val="en-US" w:eastAsia="zh-CN"/>
        </w:rPr>
        <w:t>体</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县民政局、县</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522" w:type="dxa"/>
            <w:vAlign w:val="center"/>
          </w:tcPr>
          <w:p>
            <w:pPr>
              <w:jc w:val="center"/>
              <w:rPr>
                <w:rFonts w:hint="default" w:ascii="Times New Roman" w:hAnsi="Times New Roman" w:eastAsia="华文宋体" w:cs="Times New Roman"/>
                <w:sz w:val="28"/>
                <w:szCs w:val="28"/>
              </w:rPr>
            </w:pPr>
            <w:r>
              <w:rPr>
                <w:rFonts w:hint="default" w:ascii="Times New Roman" w:hAnsi="Times New Roman" w:eastAsia="华文宋体" w:cs="Times New Roman"/>
                <w:b/>
                <w:bCs/>
                <w:sz w:val="28"/>
                <w:szCs w:val="28"/>
              </w:rPr>
              <w:t>残疾人社会保障重点项目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基本生活救助。将符合条件的残疾人和残疾人家庭全部纳入特困人员救助供养或最低生活保障范围，对获得低保后生活仍有困难的重度残疾人按照不低于当地低保标准5％</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10％的比例提高救助水平。</w:t>
            </w:r>
          </w:p>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困难残疾人生活补贴和重度残疾人护理补贴。落实“两项补贴”标准动态调整机制，逐步扩大补贴对象覆盖面，实现“两项补贴”资格认定申请“跨省通办”。</w:t>
            </w:r>
          </w:p>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残疾人基本型辅助器具适配资助。建立健全补贴制度，对符合条件有基本型辅助器具需求的残疾人给予支持。</w:t>
            </w:r>
          </w:p>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残疾评定补贴。对残疾评定给予补贴，为符合条件的残疾人残疾评定提供便利服务。</w:t>
            </w:r>
          </w:p>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商业保险补贴。支持残疾人参加意外伤害、补充养老等商业保险，有条件的地方可对参加商业保险的困难残疾人给予补贴、代缴。</w:t>
            </w:r>
          </w:p>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困难残疾人走访探视服务。村（居）委会和村（居）残疾人协会对困难残疾人开展经常性走访探视，及时反映和解决问题。</w:t>
            </w:r>
          </w:p>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7</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低收入重度残疾人照护服务。低收入重度残疾人数量和服务需求较多的乡镇（</w:t>
            </w:r>
            <w:r>
              <w:rPr>
                <w:rFonts w:hint="default" w:ascii="Times New Roman" w:hAnsi="Times New Roman" w:eastAsia="仿宋_GB2312" w:cs="Times New Roman"/>
                <w:sz w:val="24"/>
                <w:lang w:eastAsia="zh-CN"/>
              </w:rPr>
              <w:t>党群服务中心</w:t>
            </w:r>
            <w:r>
              <w:rPr>
                <w:rFonts w:hint="default" w:ascii="Times New Roman" w:hAnsi="Times New Roman" w:eastAsia="仿宋_GB2312" w:cs="Times New Roman"/>
                <w:sz w:val="24"/>
              </w:rPr>
              <w:t>）应建立集中照护服务机构；有条件的村（社区）依托公共服务设施，为符合条件的重度残疾人提供多种形式的社会化照护服务。</w:t>
            </w:r>
          </w:p>
          <w:p>
            <w:pPr>
              <w:spacing w:line="380" w:lineRule="exact"/>
              <w:ind w:firstLine="480" w:firstLineChars="200"/>
              <w:rPr>
                <w:rFonts w:hint="default" w:ascii="Times New Roman" w:hAnsi="Times New Roman" w:eastAsia="华文宋体" w:cs="Times New Roman"/>
                <w:sz w:val="24"/>
              </w:rPr>
            </w:pPr>
            <w:r>
              <w:rPr>
                <w:rFonts w:hint="default" w:ascii="Times New Roman" w:hAnsi="Times New Roman" w:eastAsia="仿宋_GB2312" w:cs="Times New Roman"/>
                <w:sz w:val="24"/>
              </w:rPr>
              <w:t>8</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就业年龄段残疾人托养服务。政府投资建设的残疾人托养服务机构要发挥示范作用。乡镇（</w:t>
            </w:r>
            <w:r>
              <w:rPr>
                <w:rFonts w:hint="default" w:ascii="Times New Roman" w:hAnsi="Times New Roman" w:eastAsia="仿宋_GB2312" w:cs="Times New Roman"/>
                <w:sz w:val="24"/>
                <w:lang w:eastAsia="zh-CN"/>
              </w:rPr>
              <w:t>党群服务中心</w:t>
            </w:r>
            <w:r>
              <w:rPr>
                <w:rFonts w:hint="default" w:ascii="Times New Roman" w:hAnsi="Times New Roman" w:eastAsia="仿宋_GB2312" w:cs="Times New Roman"/>
                <w:sz w:val="24"/>
              </w:rPr>
              <w:t>）根据需要建立残疾人托养服务机构。充分依托村（社区）党群服务中心、社会福利机构、医疗机构、农村集体闲置资源等，为就业年龄段智力残疾、精神残疾和重度肢体残疾人提供生活照料和护理、能力训练、辅助性就业等服务。</w:t>
            </w:r>
          </w:p>
        </w:tc>
      </w:tr>
    </w:tbl>
    <w:p>
      <w:pPr>
        <w:spacing w:line="580" w:lineRule="exact"/>
        <w:ind w:firstLine="616" w:firstLineChars="200"/>
        <w:rPr>
          <w:rFonts w:hint="default" w:ascii="Times New Roman" w:hAnsi="Times New Roman" w:eastAsia="楷体" w:cs="Times New Roman"/>
          <w:b w:val="0"/>
          <w:bCs w:val="0"/>
          <w:spacing w:val="-6"/>
          <w:sz w:val="32"/>
          <w:szCs w:val="32"/>
        </w:rPr>
      </w:pPr>
      <w:r>
        <w:rPr>
          <w:rFonts w:hint="default" w:ascii="Times New Roman" w:hAnsi="Times New Roman" w:eastAsia="楷体" w:cs="Times New Roman"/>
          <w:b w:val="0"/>
          <w:bCs w:val="0"/>
          <w:spacing w:val="-6"/>
          <w:sz w:val="32"/>
          <w:szCs w:val="32"/>
        </w:rPr>
        <w:t>（三）完善残疾人就业保障政策，扶持残疾人多形式就业</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推动残疾人就业法规政策有效落实。落实《残疾人就业条例》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建立健全残疾人就业保护、支持和服务制度，保障残疾人平等就业权。推动落实《机关、事业单位、国有企业带头安</w:t>
      </w:r>
      <w:r>
        <w:rPr>
          <w:rFonts w:hint="default" w:ascii="Times New Roman" w:hAnsi="Times New Roman" w:eastAsia="仿宋_GB2312" w:cs="Times New Roman"/>
          <w:sz w:val="32"/>
          <w:szCs w:val="32"/>
          <w:lang w:eastAsia="zh-CN"/>
        </w:rPr>
        <w:t>排</w:t>
      </w:r>
      <w:r>
        <w:rPr>
          <w:rFonts w:hint="default" w:ascii="Times New Roman" w:hAnsi="Times New Roman" w:eastAsia="仿宋_GB2312" w:cs="Times New Roman"/>
          <w:sz w:val="32"/>
          <w:szCs w:val="32"/>
        </w:rPr>
        <w:t>残疾人就业办法》，完善残疾人按比例就业制度，合理认定按比例安排残疾人就业形式，实现残疾人按比例就业情况联网认证“跨省通办”。加强残疾人就业促进政策与社会保障政策有效衔接，对通过政策支持脱贫或就业救助、自主创业等解困的低保对象，在核算其家庭收入时扣减必要的就业成本，并在其家庭成员人均收入超过当地低保标准后给予6个月的渐退期。（责任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委组织部、</w:t>
      </w:r>
      <w:r>
        <w:rPr>
          <w:rFonts w:hint="default" w:ascii="Times New Roman" w:hAnsi="Times New Roman" w:eastAsia="仿宋_GB2312" w:cs="Times New Roman"/>
          <w:sz w:val="32"/>
          <w:szCs w:val="32"/>
          <w:lang w:eastAsia="zh-CN"/>
        </w:rPr>
        <w:t>县编办、县</w:t>
      </w:r>
      <w:r>
        <w:rPr>
          <w:rFonts w:hint="default" w:ascii="Times New Roman" w:hAnsi="Times New Roman" w:eastAsia="仿宋_GB2312" w:cs="Times New Roman"/>
          <w:sz w:val="32"/>
          <w:szCs w:val="32"/>
        </w:rPr>
        <w:t>人社局、</w:t>
      </w:r>
      <w:r>
        <w:rPr>
          <w:rFonts w:hint="default" w:ascii="Times New Roman" w:hAnsi="Times New Roman" w:eastAsia="仿宋_GB2312" w:cs="Times New Roman"/>
          <w:sz w:val="32"/>
          <w:szCs w:val="32"/>
          <w:lang w:eastAsia="zh-CN"/>
        </w:rPr>
        <w:t>县财政局、县工信局、县</w:t>
      </w:r>
      <w:r>
        <w:rPr>
          <w:rFonts w:hint="default" w:ascii="Times New Roman" w:hAnsi="Times New Roman" w:eastAsia="仿宋_GB2312" w:cs="Times New Roman"/>
          <w:sz w:val="32"/>
          <w:szCs w:val="32"/>
        </w:rPr>
        <w:t>民政局、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丰富和拓展残疾人就业创业渠道。出台我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疾人就业创业补贴奖励办法，建立残疾人就业奖励制度。全面落实集中安排残疾人就业税收优惠、社会保险等补贴政策，对于正式招录（聘）残疾人的用人单位按规定给予一次性就业补助等补贴。支持社会力量依法举办的非营利性残疾人集中就业机构创新发展，鼓励更多企业通过集中安置吸纳残疾人就业。推动残疾人灵活就业和居家就业，扶持残疾人通过文化艺术创作、电子商务等形式实现就业创业。培育辅助性就业机构，加大对辅助性就业机构的支持保障力度。统筹现有的公益性岗位，安排更多的残疾人就近就便就业。扶持和规范盲人按摩行业健康发展。为有就业愿望的残疾妇女开辟就业渠道，支持残疾妇女自主创业就业。扶持残疾人亲属就业创业，实现零就业残疾人家庭至少有一人就业。（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人社局；参与单位：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文旅局、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税务局、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妇联、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522" w:type="dxa"/>
            <w:vAlign w:val="center"/>
          </w:tcPr>
          <w:p>
            <w:pPr>
              <w:spacing w:line="460" w:lineRule="exact"/>
              <w:jc w:val="center"/>
              <w:rPr>
                <w:rFonts w:hint="default" w:ascii="Times New Roman" w:hAnsi="Times New Roman" w:eastAsia="华文宋体" w:cs="Times New Roman"/>
                <w:b/>
                <w:bCs/>
                <w:sz w:val="28"/>
                <w:szCs w:val="28"/>
              </w:rPr>
            </w:pPr>
            <w:r>
              <w:rPr>
                <w:rFonts w:hint="default" w:ascii="Times New Roman" w:hAnsi="Times New Roman" w:eastAsia="华文宋体" w:cs="Times New Roman"/>
                <w:b/>
                <w:bCs/>
                <w:sz w:val="28"/>
                <w:szCs w:val="28"/>
              </w:rPr>
              <w:t>残疾人就业补贴奖励重点项目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vAlign w:val="center"/>
          </w:tcPr>
          <w:p>
            <w:pPr>
              <w:spacing w:line="40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残疾人自主就业创业补贴。对符合自主创业、灵活就业条件的残疾人给予相关补贴，对求职创业的应届高校、中职院校残疾人毕业生就业给予补贴。鼓励残疾大学生自主就业创业。</w:t>
            </w:r>
          </w:p>
          <w:p>
            <w:pPr>
              <w:spacing w:line="40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残疾学生见习补贴。按规定对参加就业见习的高校、中职院校残疾人毕业生以及16</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24周岁城乡失业残疾青年在见习期间给予一定标准的补贴。</w:t>
            </w:r>
          </w:p>
          <w:p>
            <w:pPr>
              <w:spacing w:line="40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招录（聘）残疾人的用人单位补贴。对正式招录（聘）残疾人的用人单位，按规定给予一次性吸纳就业等各类补助、补贴；对安排残疾人见习的用人单位按规定给予见习补贴。</w:t>
            </w:r>
          </w:p>
          <w:p>
            <w:pPr>
              <w:spacing w:line="40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辅助性就业机构补贴。对残疾人辅助性就业机构按照有关规定，给予一次性建设、场地租金、机构运行、无障碍环境改造、生产设备和辅助器具购置等补贴。</w:t>
            </w:r>
          </w:p>
          <w:p>
            <w:pPr>
              <w:spacing w:line="40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通过公益性岗位安排残疾人就业的用人单位补贴。对通过公益性岗位安排残疾人就业并缴纳社会保险费的用人单位，按规定给予社会保险和公益性岗位补贴。</w:t>
            </w:r>
          </w:p>
          <w:p>
            <w:pPr>
              <w:spacing w:line="400" w:lineRule="exact"/>
              <w:ind w:firstLine="480" w:firstLineChars="200"/>
              <w:rPr>
                <w:rFonts w:hint="default" w:ascii="Times New Roman" w:hAnsi="Times New Roman" w:eastAsia="华文宋体" w:cs="Times New Roman"/>
                <w:b/>
                <w:bCs/>
                <w:sz w:val="28"/>
                <w:szCs w:val="28"/>
              </w:rPr>
            </w:pPr>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残疾人就业服务补贴。充分发挥残疾人就业服务中心、公共就业服务机构、劳务派遣公司、经营性人力资源服务机构在残疾人就业供需对接方面的作用。鼓励经营性</w:t>
            </w:r>
            <w:r>
              <w:rPr>
                <w:rFonts w:hint="default" w:ascii="Times New Roman" w:hAnsi="Times New Roman" w:eastAsia="仿宋_GB2312" w:cs="Times New Roman"/>
                <w:sz w:val="24"/>
                <w:lang w:eastAsia="zh-CN"/>
              </w:rPr>
              <w:t>县</w:t>
            </w:r>
            <w:r>
              <w:rPr>
                <w:rFonts w:hint="default" w:ascii="Times New Roman" w:hAnsi="Times New Roman" w:eastAsia="仿宋_GB2312" w:cs="Times New Roman"/>
                <w:sz w:val="24"/>
              </w:rPr>
              <w:t>场主体开展公益性就业服务，推荐残疾人稳定就业的，按其就业服务后实际就业人数向当地人社部门申请职业介绍补贴。</w:t>
            </w:r>
          </w:p>
        </w:tc>
      </w:tr>
    </w:tbl>
    <w:p>
      <w:pPr>
        <w:spacing w:line="200" w:lineRule="exact"/>
        <w:rPr>
          <w:rFonts w:hint="default" w:ascii="Times New Roman" w:hAnsi="Times New Roman" w:eastAsia="华文仿宋"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提升残疾人职业技能。落实《残疾人职业技能提升计划（2021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2025年）》和《促进残疾人就业三年行动方案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疾人职业技能培训、农村实用技术培训等实施办法。完善残疾人职业技能培训管理制度，积极开展线上与线下、理论与实践相结合的残疾人职业技能培训。加强对残疾人就业服务的管理和指导，规范并提高残疾人就业服务水平。（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人社局）</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加强残疾人就业服务和援助。开展高校残疾人毕业生“一人一策”就业服务。推进残疾人就业服务规范化建设。将劳动年龄段内有劳动能力和就业意愿的未就业持证残疾人纳入就业援助范围。为残疾人特别是聋人、盲人参加职业技能培训、就业创业提供无障碍支持服务。举办残疾人职业人才交流、残疾人就业产品</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场营销、残疾人就业创业成果展示等活动。（牵头单位：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人社局；参与单位：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w:t>
      </w:r>
      <w:r>
        <w:rPr>
          <w:rFonts w:hint="eastAsia" w:ascii="Times New Roman" w:hAnsi="Times New Roman" w:eastAsia="仿宋_GB2312" w:cs="Times New Roman"/>
          <w:sz w:val="32"/>
          <w:szCs w:val="32"/>
          <w:lang w:val="en-US" w:eastAsia="zh-CN"/>
        </w:rPr>
        <w:t>科</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依法保障残疾人平等就业权益。合理确定残疾人取得职业资格和公务员、事业单位人员等入职体检条件。在坚持具有正常履行职责的身体条件的前提下，对残疾人能够胜任的职位、岗位，在同等条件下优先录（聘）用残疾人。用人单位应当帮助残疾职工开发适合的就业岗位，为其提供适合其身心特点的劳动条件、劳动保护、无障碍环境及合理便利，在晋职、晋级、职称评定、社会保险、生活福利等方面给予其平等待遇。加强残疾人就业劳动监察，坚决防范和打击侵害残疾人就业权益的行为。（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人社局；参与单位：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委组织部、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8522" w:type="dxa"/>
            <w:vAlign w:val="center"/>
          </w:tcPr>
          <w:p>
            <w:pPr>
              <w:jc w:val="center"/>
              <w:rPr>
                <w:rFonts w:hint="default" w:ascii="Times New Roman" w:hAnsi="Times New Roman" w:eastAsia="华文宋体" w:cs="Times New Roman"/>
                <w:b/>
                <w:bCs/>
                <w:sz w:val="28"/>
                <w:szCs w:val="28"/>
              </w:rPr>
            </w:pPr>
            <w:r>
              <w:rPr>
                <w:rFonts w:hint="default" w:ascii="Times New Roman" w:hAnsi="Times New Roman" w:eastAsia="华文宋体" w:cs="Times New Roman"/>
                <w:b/>
                <w:bCs/>
                <w:sz w:val="28"/>
                <w:szCs w:val="28"/>
              </w:rPr>
              <w:t>残疾人就业服务重点项目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spacing w:line="40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党政机关、事业单位、国有企业带头安排残疾人就业项目。到2025年，编制50人（含）以上的党政机关、编制67人（含）以上的事业单位（中小学、幼儿园除外）安排残疾人就业未达到本单位在职职工总数</w:t>
            </w:r>
            <w:r>
              <w:rPr>
                <w:rFonts w:hint="default" w:ascii="Times New Roman" w:hAnsi="Times New Roman" w:eastAsia="仿宋_GB2312" w:cs="Times New Roman"/>
                <w:sz w:val="24"/>
                <w:lang w:val="en-US" w:eastAsia="zh-CN"/>
              </w:rPr>
              <w:t>1.5</w:t>
            </w:r>
            <w:r>
              <w:rPr>
                <w:rFonts w:hint="default" w:ascii="Times New Roman" w:hAnsi="Times New Roman" w:eastAsia="仿宋_GB2312" w:cs="Times New Roman"/>
                <w:sz w:val="24"/>
              </w:rPr>
              <w:t>%的，至少安排1名残疾人就业。县级及以上残联机关干部队伍中要有15%以上的残疾人。安排残疾人就业未达到规定比例的国有企业应当根据行业特点，积极开发适合残疾人就业的岗位，安排残疾人就业。</w:t>
            </w:r>
          </w:p>
          <w:p>
            <w:pPr>
              <w:spacing w:line="40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农村残疾人就业帮扶基地建设项目。</w:t>
            </w:r>
            <w:r>
              <w:rPr>
                <w:rFonts w:hint="default" w:ascii="Times New Roman" w:hAnsi="Times New Roman" w:eastAsia="仿宋_GB2312" w:cs="Times New Roman"/>
                <w:sz w:val="24"/>
                <w:lang w:eastAsia="zh-CN"/>
              </w:rPr>
              <w:t>县</w:t>
            </w:r>
            <w:r>
              <w:rPr>
                <w:rFonts w:hint="default" w:ascii="Times New Roman" w:hAnsi="Times New Roman" w:eastAsia="仿宋_GB2312" w:cs="Times New Roman"/>
                <w:sz w:val="24"/>
              </w:rPr>
              <w:t>县依托各类新型农业经营主体，扶持一批残疾人就业帮扶基地，带动残疾人稳定就业、生产增收。</w:t>
            </w:r>
          </w:p>
          <w:p>
            <w:pPr>
              <w:spacing w:line="40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残疾人职业技能培训和创业孵化基地建设项目。依托企业、职业院校和社会培训机构等，建立一批残疾人职业技能培训和创业孵化基地，提升残疾人职业技能培训、实习见习和就业创业服务水平。</w:t>
            </w:r>
          </w:p>
          <w:p>
            <w:pPr>
              <w:spacing w:line="40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盲人按摩提升项目。支持盲人按摩实训基地和按摩机构建设。</w:t>
            </w:r>
          </w:p>
          <w:p>
            <w:pPr>
              <w:spacing w:line="40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残疾人辅助性就业项目。推动将残疾人辅助性就业服务纳入政府购买范围，鼓励和引导</w:t>
            </w:r>
            <w:r>
              <w:rPr>
                <w:rFonts w:hint="default" w:ascii="Times New Roman" w:hAnsi="Times New Roman" w:eastAsia="仿宋_GB2312" w:cs="Times New Roman"/>
                <w:sz w:val="24"/>
                <w:lang w:eastAsia="zh-CN"/>
              </w:rPr>
              <w:t>县</w:t>
            </w:r>
            <w:r>
              <w:rPr>
                <w:rFonts w:hint="default" w:ascii="Times New Roman" w:hAnsi="Times New Roman" w:eastAsia="仿宋_GB2312" w:cs="Times New Roman"/>
                <w:sz w:val="24"/>
              </w:rPr>
              <w:t>场主体和社会力量提供辅助性就业服务。</w:t>
            </w:r>
          </w:p>
          <w:p>
            <w:pPr>
              <w:spacing w:line="400" w:lineRule="exact"/>
              <w:ind w:firstLine="480" w:firstLineChars="200"/>
              <w:rPr>
                <w:rFonts w:hint="default" w:ascii="Times New Roman" w:hAnsi="Times New Roman" w:eastAsia="CESI仿宋-GB2312" w:cs="Times New Roman"/>
                <w:sz w:val="24"/>
              </w:rPr>
            </w:pPr>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残疾人公益性岗位项目。增加和设置适合残疾人就业的公益性岗位，优先安排条件适宜的残疾人。</w:t>
            </w:r>
          </w:p>
        </w:tc>
      </w:tr>
    </w:tbl>
    <w:p>
      <w:pPr>
        <w:spacing w:line="200" w:lineRule="exact"/>
        <w:ind w:firstLine="640" w:firstLineChars="200"/>
        <w:rPr>
          <w:rFonts w:hint="default" w:ascii="Times New Roman" w:hAnsi="Times New Roman" w:eastAsia="华文仿宋" w:cs="Times New Roman"/>
          <w:sz w:val="32"/>
          <w:szCs w:val="32"/>
        </w:rPr>
      </w:pPr>
    </w:p>
    <w:p>
      <w:pPr>
        <w:ind w:firstLine="640" w:firstLineChars="200"/>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（四）健全残疾人关爱服务体系，提升残疾人公共服务质量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加强残疾人健康服务。加强和改善残疾人医疗服务，为残疾人提供就医便利，维护残疾人平等就医权利。全面推进残疾人家庭医生签约服务，按照协议为残疾人就近就便提供基本医疗、公共卫生、健康管理和康复护理等个性化服务。强化残疾人心理健康服务。关注残疾妇女健康，开展生殖健康服务。（牵头部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卫健</w:t>
      </w:r>
      <w:r>
        <w:rPr>
          <w:rFonts w:hint="eastAsia" w:ascii="Times New Roman" w:hAnsi="Times New Roman" w:eastAsia="仿宋_GB2312" w:cs="Times New Roman"/>
          <w:sz w:val="32"/>
          <w:szCs w:val="32"/>
          <w:lang w:val="en-US" w:eastAsia="zh-CN"/>
        </w:rPr>
        <w:t>体</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；参与部门：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妇联、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提升残疾人康复服务质量。按照残疾人基本康复服务目录，继续实施精准康复服务行动，提升康复服务质量，推广居家康复、机构康复、医院康复相结合，提升康复服务精准度和覆盖率，不断满足残疾人基本康复服务需求。落实残疾儿童康复救助制度及配套政策，进一步提高残疾儿童康复救助标准，扩大救助范围，提高服务质量，确保残疾儿童“应救尽救”，让残疾儿童得到及时有效的康复服务。加强精神卫生综合管理服务，广泛开展精神障碍社区康复。加强定点康复机构规范化服务建设和康复专业人才培养，提升高质量、规范化康复服务能力和水平。加强社区康复，落实《残疾人社区康复工作标准》，加强残疾人健康状况评估调查，推广残疾人自助、互助康复，促进康复服务社区化</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场化发展。（牵头部门：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残联；参与部门：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委政法委、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w:t>
      </w:r>
      <w:r>
        <w:rPr>
          <w:rFonts w:hint="eastAsia" w:ascii="Times New Roman" w:hAnsi="Times New Roman" w:eastAsia="仿宋_GB2312" w:cs="Times New Roman"/>
          <w:sz w:val="32"/>
          <w:szCs w:val="32"/>
          <w:lang w:val="en-US" w:eastAsia="zh-CN"/>
        </w:rPr>
        <w:t>科</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卫健</w:t>
      </w:r>
      <w:r>
        <w:rPr>
          <w:rFonts w:hint="eastAsia" w:ascii="Times New Roman" w:hAnsi="Times New Roman" w:eastAsia="仿宋_GB2312" w:cs="Times New Roman"/>
          <w:sz w:val="32"/>
          <w:szCs w:val="32"/>
          <w:lang w:val="en-US" w:eastAsia="zh-CN"/>
        </w:rPr>
        <w:t>体</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县市</w:t>
      </w:r>
      <w:r>
        <w:rPr>
          <w:rFonts w:hint="default" w:ascii="Times New Roman" w:hAnsi="Times New Roman" w:eastAsia="仿宋_GB2312" w:cs="Times New Roman"/>
          <w:sz w:val="32"/>
          <w:szCs w:val="32"/>
        </w:rPr>
        <w:t>场监管局、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妇联）</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优化康复辅助器具服务。加强优质康复辅助器具供给能力，推广安全适用的基本型康复辅助器具，</w:t>
      </w:r>
      <w:r>
        <w:rPr>
          <w:rFonts w:hint="default" w:ascii="Times New Roman" w:hAnsi="Times New Roman" w:eastAsia="仿宋_GB2312" w:cs="Times New Roman"/>
          <w:sz w:val="32"/>
          <w:szCs w:val="32"/>
          <w:lang w:eastAsia="zh-CN"/>
        </w:rPr>
        <w:t>推动</w:t>
      </w:r>
      <w:r>
        <w:rPr>
          <w:rFonts w:hint="default" w:ascii="Times New Roman" w:hAnsi="Times New Roman" w:eastAsia="仿宋_GB2312" w:cs="Times New Roman"/>
          <w:sz w:val="32"/>
          <w:szCs w:val="32"/>
        </w:rPr>
        <w:t>康复辅助器具服务提质升级。落实残疾人基本型辅助器具货币化补贴制度。完善康复辅助器具适配服务网络，加强县级康复辅助器具适配服务机构建设。支持社会力量及医疗、康复、养老机构和残疾人教育、就业、托养机构开展康复辅助器具适配服务。鼓励社区开展康复辅助器具租赁、回收、维修等服务。加强残疾人康复辅助器具适配专业人员规范化培训。（牵头部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民政局；参与部门：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w:t>
      </w:r>
      <w:r>
        <w:rPr>
          <w:rFonts w:hint="eastAsia" w:ascii="Times New Roman" w:hAnsi="Times New Roman" w:eastAsia="仿宋_GB2312" w:cs="Times New Roman"/>
          <w:sz w:val="32"/>
          <w:szCs w:val="32"/>
          <w:lang w:val="en-US" w:eastAsia="zh-CN"/>
        </w:rPr>
        <w:t>科</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人社局、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卫健</w:t>
      </w:r>
      <w:r>
        <w:rPr>
          <w:rFonts w:hint="eastAsia" w:ascii="Times New Roman" w:hAnsi="Times New Roman" w:eastAsia="仿宋_GB2312" w:cs="Times New Roman"/>
          <w:sz w:val="32"/>
          <w:szCs w:val="32"/>
          <w:lang w:val="en-US" w:eastAsia="zh-CN"/>
        </w:rPr>
        <w:t>体</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县市</w:t>
      </w:r>
      <w:r>
        <w:rPr>
          <w:rFonts w:hint="default" w:ascii="Times New Roman" w:hAnsi="Times New Roman" w:eastAsia="仿宋_GB2312" w:cs="Times New Roman"/>
          <w:sz w:val="32"/>
          <w:szCs w:val="32"/>
        </w:rPr>
        <w:t>场监管局、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强化残疾预防。坚持预防为主、预防与康复相结合原则，实施残疾预防行动。结合残疾预防日、预防出生缺陷日、爱眼日、爱耳日、全国防灾减灾日等节点，广泛宣传残疾预防健康知识，推动残疾预防进网络、进社区、进家庭、进学校，大力普及康复理念，增强全人群自我防护、自主康复主动意识，有效降低残疾发生率。加强出生缺陷综合防治，加强婚前、孕前、孕期、新生儿期和儿童期各阶段的出生缺陷防治体系建设，做好产前筛查、诊断，预防和减少出生缺陷、发育障碍致残。加强</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两级妇幼保健机构能力建设，夯实县、乡、村儿童保健服务网络，加强0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岁儿童残疾早期筛查，不断提升儿童致残性疾病早发现、早诊断、早干预、早康复能力和效果。实施慢性病预防干预措施，开展重大慢性病早诊早治，减少慢性病致残。开展社会心理服务和社区心理干预，预防和减少精神残疾发生。开展防盲治盲、防聋治聋工作，加强对传染病和地方病的防控。加强安全生产监管、消防安全和交通安全管理，防止老年人跌倒、儿童意外伤害致残，减少因灾害、事故、职业伤害等致残。加快公共场所急救设备配备，提高自然灾害和火灾现场应急处置能力、突发事件紧急医学救援能力和院前急救能力。（责任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委宣传部、</w:t>
      </w:r>
      <w:r>
        <w:rPr>
          <w:rFonts w:hint="default"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lang w:val="en-US" w:eastAsia="zh-CN"/>
        </w:rPr>
        <w:t>委</w:t>
      </w:r>
      <w:r>
        <w:rPr>
          <w:rFonts w:hint="default" w:ascii="Times New Roman" w:hAnsi="Times New Roman" w:eastAsia="仿宋_GB2312" w:cs="Times New Roman"/>
          <w:sz w:val="32"/>
          <w:szCs w:val="32"/>
        </w:rPr>
        <w:t>网信办、</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w:t>
      </w:r>
      <w:r>
        <w:rPr>
          <w:rFonts w:hint="eastAsia" w:ascii="Times New Roman" w:hAnsi="Times New Roman" w:eastAsia="仿宋_GB2312" w:cs="Times New Roman"/>
          <w:sz w:val="32"/>
          <w:szCs w:val="32"/>
          <w:lang w:val="en-US" w:eastAsia="zh-CN"/>
        </w:rPr>
        <w:t>科</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人社局、</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生态环境局</w:t>
      </w:r>
      <w:r>
        <w:rPr>
          <w:rFonts w:hint="eastAsia" w:ascii="Times New Roman" w:hAnsi="Times New Roman" w:eastAsia="仿宋_GB2312" w:cs="Times New Roman"/>
          <w:sz w:val="32"/>
          <w:szCs w:val="32"/>
          <w:lang w:val="en-US" w:eastAsia="zh-CN"/>
        </w:rPr>
        <w:t>宁武分局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交通局、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水利局、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卫健</w:t>
      </w:r>
      <w:r>
        <w:rPr>
          <w:rFonts w:hint="eastAsia" w:ascii="Times New Roman" w:hAnsi="Times New Roman" w:eastAsia="仿宋_GB2312" w:cs="Times New Roman"/>
          <w:sz w:val="32"/>
          <w:szCs w:val="32"/>
          <w:lang w:val="en-US" w:eastAsia="zh-CN"/>
        </w:rPr>
        <w:t>体</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应急局、</w:t>
      </w:r>
      <w:r>
        <w:rPr>
          <w:rFonts w:hint="default" w:ascii="Times New Roman" w:hAnsi="Times New Roman" w:eastAsia="仿宋_GB2312" w:cs="Times New Roman"/>
          <w:sz w:val="32"/>
          <w:szCs w:val="32"/>
          <w:lang w:eastAsia="zh-CN"/>
        </w:rPr>
        <w:t>县文旅</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总工会、团</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妇联、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22" w:type="dxa"/>
            <w:vAlign w:val="center"/>
          </w:tcPr>
          <w:p>
            <w:pPr>
              <w:spacing w:line="460" w:lineRule="exact"/>
              <w:jc w:val="center"/>
              <w:rPr>
                <w:rFonts w:hint="default" w:ascii="Times New Roman" w:hAnsi="Times New Roman" w:eastAsia="华文宋体" w:cs="Times New Roman"/>
                <w:b/>
                <w:bCs/>
                <w:sz w:val="28"/>
                <w:szCs w:val="28"/>
              </w:rPr>
            </w:pPr>
            <w:r>
              <w:rPr>
                <w:rFonts w:hint="default" w:ascii="Times New Roman" w:hAnsi="Times New Roman" w:eastAsia="华文宋体" w:cs="Times New Roman"/>
                <w:b/>
                <w:bCs/>
                <w:sz w:val="28"/>
                <w:szCs w:val="28"/>
              </w:rPr>
              <w:t>专栏5  残疾人健康和康复重点项目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spacing w:line="44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精准康复服务行动。开展残疾人康复需求调查评估，为有需求的残疾人提供基本康复服务，为家庭照护者提供居家康复、照护技能培训和支持服务，针对特困残疾人和残疾孤儿实施“福康工程”、孤儿医疗康复明天计划等康复服务项目，接受基本康复服务的比例保持在85%以上。</w:t>
            </w:r>
          </w:p>
          <w:p>
            <w:pPr>
              <w:spacing w:line="44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残疾儿童康复救助项目。为符合条件的残疾儿童提供手术、辅助器具适配、康复训练等服务。逐步提高残疾儿童救助标准，扩大救助年龄范围，提升残疾儿童康复质量，确保残疾儿童“应救尽救”。</w:t>
            </w:r>
          </w:p>
          <w:p>
            <w:pPr>
              <w:spacing w:line="44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精神卫生综合管理服务。开展严重精神障碍患者日常发现、登记报告、随访管理、服药指导、社区康复、心理支持和疏导等服务，为家庭照护者提供技能培训、心理支持和疏导等服务。健全精神障碍社区康复服务体系，实现80%以上</w:t>
            </w:r>
            <w:r>
              <w:rPr>
                <w:rFonts w:hint="default" w:ascii="Times New Roman" w:hAnsi="Times New Roman" w:eastAsia="仿宋_GB2312" w:cs="Times New Roman"/>
                <w:sz w:val="24"/>
                <w:lang w:eastAsia="zh-CN"/>
              </w:rPr>
              <w:t>地区</w:t>
            </w:r>
            <w:r>
              <w:rPr>
                <w:rFonts w:hint="default" w:ascii="Times New Roman" w:hAnsi="Times New Roman" w:eastAsia="仿宋_GB2312" w:cs="Times New Roman"/>
                <w:sz w:val="24"/>
              </w:rPr>
              <w:t>开展精神障碍社区康复服务。</w:t>
            </w:r>
          </w:p>
          <w:p>
            <w:pPr>
              <w:spacing w:line="44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残疾人互助康复项目。推广脊髓损伤者“希望之家”残疾人自助、互助康复项目。</w:t>
            </w:r>
          </w:p>
          <w:p>
            <w:pPr>
              <w:spacing w:line="440" w:lineRule="exact"/>
              <w:ind w:firstLine="480" w:firstLineChars="200"/>
              <w:rPr>
                <w:rFonts w:hint="default" w:ascii="Times New Roman" w:hAnsi="Times New Roman" w:eastAsia="CESI仿宋-GB2312" w:cs="Times New Roman"/>
                <w:sz w:val="24"/>
              </w:rPr>
            </w:pPr>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康复专业人才培养项目。加强康复人才教育培养，推进康复专业人员规范化培训。加强全科医生和家庭医生签约团队培训，提升专业康复医疗的服务能力和水平。</w:t>
            </w:r>
          </w:p>
        </w:tc>
      </w:tr>
    </w:tbl>
    <w:p>
      <w:pPr>
        <w:spacing w:line="200" w:lineRule="exact"/>
        <w:rPr>
          <w:rFonts w:hint="default" w:ascii="Times New Roman" w:hAnsi="Times New Roman" w:eastAsia="华文仿宋" w:cs="Times New Roman"/>
          <w:sz w:val="32"/>
          <w:szCs w:val="32"/>
        </w:rPr>
      </w:pP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促进残疾人特殊教育体系建设。全面贯彻党的教育方针，落实立德树人根本任务，以适宜融合为目标办好特殊教育。制定落实《</w:t>
      </w:r>
      <w:r>
        <w:rPr>
          <w:rFonts w:hint="default" w:ascii="Times New Roman" w:hAnsi="Times New Roman" w:eastAsia="仿宋_GB2312" w:cs="Times New Roman"/>
          <w:sz w:val="32"/>
          <w:szCs w:val="32"/>
          <w:lang w:eastAsia="zh-CN"/>
        </w:rPr>
        <w:t>宁武县</w:t>
      </w:r>
      <w:r>
        <w:rPr>
          <w:rFonts w:hint="default" w:ascii="Times New Roman" w:hAnsi="Times New Roman" w:eastAsia="仿宋_GB2312" w:cs="Times New Roman"/>
          <w:sz w:val="32"/>
          <w:szCs w:val="32"/>
        </w:rPr>
        <w:t>“十四五”特殊教育发展提升行动计划》，完善特殊教育体系建设，做好控辍保学工作，提高特殊教育质量。发挥残疾人教育专家委员会作用，规范评价残疾儿童接受教育能力，落实适龄残疾儿童少年“一人一案”科学教育安置，规范送教上门，巩固提升残疾儿童义务教育入学率。支持普通幼儿园接收残疾儿童，健全普通学校随班就读支持保障体系。加快发展以职业教育为重点的残疾人高中阶段特殊教育，支持普通中等职业学校和普通高中接收残疾学生随班就读。为残疾学生参加国家教育考试和部分职业考试提供合理便利。（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w:t>
      </w:r>
      <w:r>
        <w:rPr>
          <w:rFonts w:hint="eastAsia" w:ascii="Times New Roman" w:hAnsi="Times New Roman" w:eastAsia="仿宋_GB2312" w:cs="Times New Roman"/>
          <w:sz w:val="32"/>
          <w:szCs w:val="32"/>
          <w:lang w:val="en-US" w:eastAsia="zh-CN"/>
        </w:rPr>
        <w:t>科</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华文仿宋" w:cs="Times New Roman"/>
          <w:sz w:val="32"/>
          <w:szCs w:val="32"/>
        </w:rPr>
      </w:pP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支持和保障特殊教育健康发展。因地制宜合理配置特殊教育资源。支持符合条件的儿童福利机构、残疾儿童康复机构增设学前部或附设幼儿园。加强特殊教育学校规范化建设，改善学校办学条件，推进无障碍环境建设。加强特殊教育师资队伍建设，把特殊教育教师培训纳入教师培训项目，创新培养方式，不断提升教书育人能力素质。将特殊教育相关指标纳入县域义务教育优质均衡发展督导评估指标，督促落实特殊教育政策。制定实施《</w:t>
      </w:r>
      <w:r>
        <w:rPr>
          <w:rFonts w:hint="default" w:ascii="Times New Roman" w:hAnsi="Times New Roman" w:eastAsia="仿宋_GB2312" w:cs="Times New Roman"/>
          <w:sz w:val="32"/>
          <w:szCs w:val="32"/>
          <w:lang w:eastAsia="zh-CN"/>
        </w:rPr>
        <w:t>宁武县</w:t>
      </w:r>
      <w:r>
        <w:rPr>
          <w:rFonts w:hint="default" w:ascii="Times New Roman" w:hAnsi="Times New Roman" w:eastAsia="仿宋_GB2312" w:cs="Times New Roman"/>
          <w:sz w:val="32"/>
          <w:szCs w:val="32"/>
        </w:rPr>
        <w:t>“十四五”国家手语和盲文规范化行动实施方案》，加快推广国家通用手语和国家通用盲文。（牵头单位：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w:t>
      </w:r>
      <w:r>
        <w:rPr>
          <w:rFonts w:hint="eastAsia" w:ascii="Times New Roman" w:hAnsi="Times New Roman" w:eastAsia="仿宋_GB2312" w:cs="Times New Roman"/>
          <w:sz w:val="32"/>
          <w:szCs w:val="32"/>
          <w:lang w:val="en-US" w:eastAsia="zh-CN"/>
        </w:rPr>
        <w:t>科</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522" w:type="dxa"/>
            <w:vAlign w:val="center"/>
          </w:tcPr>
          <w:p>
            <w:pPr>
              <w:spacing w:line="460" w:lineRule="exact"/>
              <w:jc w:val="center"/>
              <w:rPr>
                <w:rFonts w:hint="default" w:ascii="Times New Roman" w:hAnsi="Times New Roman" w:eastAsia="华文宋体" w:cs="Times New Roman"/>
                <w:b/>
                <w:bCs/>
                <w:sz w:val="28"/>
                <w:szCs w:val="28"/>
              </w:rPr>
            </w:pPr>
            <w:r>
              <w:rPr>
                <w:rFonts w:hint="default" w:ascii="Times New Roman" w:hAnsi="Times New Roman" w:eastAsia="华文宋体" w:cs="Times New Roman"/>
                <w:b/>
                <w:bCs/>
                <w:sz w:val="28"/>
                <w:szCs w:val="28"/>
              </w:rPr>
              <w:t>残疾人教育重点项目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spacing w:line="360" w:lineRule="exact"/>
              <w:ind w:firstLine="420"/>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儿童少年义务教育巩固提高项目。充分发挥残疾人教育专家委员会的作用，开展对适龄残疾儿童少年入学需求摸底排查和规范评估，并给予科学的教育安置，提高适龄残疾儿童少年义务教育普及水平和巩固率，残疾儿童少年义务教育入学率不低于97%。</w:t>
            </w:r>
          </w:p>
          <w:p>
            <w:pPr>
              <w:spacing w:line="360" w:lineRule="exact"/>
              <w:ind w:firstLine="420"/>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幼儿学前康复教育发展项目。鼓励各类幼儿园、普通学校学前班、残疾儿童康复机构等招收符合入学条件的残疾幼儿入学，开展学前教育和康复训练，积极推进融合教育。加强残疾儿童学前幼儿特殊教育和康复机构建设。</w:t>
            </w:r>
          </w:p>
          <w:p>
            <w:pPr>
              <w:spacing w:line="360" w:lineRule="exact"/>
              <w:ind w:firstLine="420"/>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职业教育提升项目。支持特殊教育学校与普通职业院校联合开展残疾人职业教育，推动职业教育融合发展。支持中高等职业学校（含特教学校中职部）加强实训基地建设，为残疾学生实习实训提供保障和便利。</w:t>
            </w:r>
          </w:p>
          <w:p>
            <w:pPr>
              <w:spacing w:line="360" w:lineRule="exact"/>
              <w:ind w:firstLine="420"/>
              <w:rPr>
                <w:rFonts w:hint="default" w:ascii="Times New Roman" w:hAnsi="Times New Roman" w:eastAsia="仿宋_GB2312" w:cs="Times New Roman"/>
                <w:sz w:val="24"/>
              </w:rPr>
            </w:pPr>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融合教育推广项目。支持招收残疾儿童的普通学校配备必要的教育教学、康复训练设施设备和专业人员。鼓励设置随班就读区域资源中心或资源教室。同等条件下在招生片区内优先安排残疾儿童少年就近就便入学。</w:t>
            </w:r>
          </w:p>
          <w:p>
            <w:pPr>
              <w:spacing w:line="360" w:lineRule="exact"/>
              <w:ind w:firstLine="420"/>
              <w:rPr>
                <w:rFonts w:hint="default" w:ascii="Times New Roman" w:hAnsi="Times New Roman" w:eastAsia="仿宋_GB2312" w:cs="Times New Roman"/>
                <w:sz w:val="24"/>
              </w:rPr>
            </w:pPr>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提升特殊教育学校质量项目。加强特殊教育督导和质量监测评估，按照有关规定开展表彰奖励，提升教书育人能力素质。</w:t>
            </w:r>
          </w:p>
          <w:p>
            <w:pPr>
              <w:spacing w:line="360" w:lineRule="exact"/>
              <w:ind w:firstLine="420"/>
              <w:rPr>
                <w:rFonts w:hint="default" w:ascii="Times New Roman" w:hAnsi="Times New Roman" w:eastAsia="仿宋_GB2312" w:cs="Times New Roman"/>
                <w:sz w:val="24"/>
              </w:rPr>
            </w:pPr>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手语盲文推广项目。制定实施《</w:t>
            </w:r>
            <w:r>
              <w:rPr>
                <w:rFonts w:hint="default" w:ascii="Times New Roman" w:hAnsi="Times New Roman" w:eastAsia="仿宋_GB2312" w:cs="Times New Roman"/>
                <w:sz w:val="24"/>
                <w:lang w:eastAsia="zh-CN"/>
              </w:rPr>
              <w:t>宁武县</w:t>
            </w:r>
            <w:r>
              <w:rPr>
                <w:rFonts w:hint="default" w:ascii="Times New Roman" w:hAnsi="Times New Roman" w:eastAsia="仿宋_GB2312" w:cs="Times New Roman"/>
                <w:sz w:val="24"/>
              </w:rPr>
              <w:t>“十四五”国家手语和盲文规范化行动实施方案》，到2025年，</w:t>
            </w:r>
            <w:r>
              <w:rPr>
                <w:rFonts w:hint="default" w:ascii="Times New Roman" w:hAnsi="Times New Roman" w:eastAsia="仿宋_GB2312" w:cs="Times New Roman"/>
                <w:sz w:val="24"/>
                <w:lang w:eastAsia="zh-CN"/>
              </w:rPr>
              <w:t>宁武县</w:t>
            </w:r>
            <w:r>
              <w:rPr>
                <w:rFonts w:hint="default" w:ascii="Times New Roman" w:hAnsi="Times New Roman" w:eastAsia="仿宋_GB2312" w:cs="Times New Roman"/>
                <w:sz w:val="24"/>
              </w:rPr>
              <w:t>特殊教育学校普遍使用国家通用手语；国家通用手语和国家通用盲文的社会服务范围进一步扩大；特教教师专业技能和从业者的手语、盲文服务质量得到提升。</w:t>
            </w:r>
          </w:p>
          <w:p>
            <w:pPr>
              <w:spacing w:line="360" w:lineRule="exact"/>
              <w:rPr>
                <w:rFonts w:hint="default" w:ascii="Times New Roman" w:hAnsi="Times New Roman" w:eastAsia="CESI仿宋-GB2312" w:cs="Times New Roman"/>
                <w:sz w:val="24"/>
              </w:rPr>
            </w:pPr>
            <w:r>
              <w:rPr>
                <w:rFonts w:hint="default" w:ascii="Times New Roman" w:hAnsi="Times New Roman" w:eastAsia="仿宋_GB2312" w:cs="Times New Roman"/>
                <w:sz w:val="24"/>
              </w:rPr>
              <w:t xml:space="preserve">    7</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扶残助学项目。继续开展残疾大学生和困难残疾人家庭子女大学生资助项目，减轻残疾大学生和困难残疾人家庭经济负担。</w:t>
            </w:r>
          </w:p>
        </w:tc>
      </w:tr>
    </w:tbl>
    <w:p>
      <w:pPr>
        <w:spacing w:line="200" w:lineRule="exact"/>
        <w:rPr>
          <w:rFonts w:hint="default" w:ascii="Times New Roman" w:hAnsi="Times New Roman" w:eastAsia="华文仿宋" w:cs="Times New Roman"/>
          <w:sz w:val="32"/>
          <w:szCs w:val="32"/>
        </w:rPr>
      </w:pP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优化残疾人公共文化服务供给能力。广泛开展残疾人文化活动，激发残疾人参与公共文化热情，保障残疾人的文化权益。鼓励残疾人参加“书香三晋·文化山西”全民阅读活动等公共文化活动，持续开展“残疾人文化周”等群众性文化艺术活动，着力打造具有忻州特色的残疾人群众性文化活动品牌。为残疾人提供盲文和有声读物等无障碍文化服务。鼓励电视台、广播电台、网络视听媒体和融媒体中心开设残疾人专题节目。大力发展特殊艺术，加强特殊艺术人才基地建设。支持残疾人学习传统工艺，传承非物质文化遗产。（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w:t>
      </w:r>
      <w:r>
        <w:rPr>
          <w:rFonts w:hint="eastAsia" w:ascii="Times New Roman" w:hAnsi="Times New Roman" w:eastAsia="仿宋_GB2312" w:cs="Times New Roman"/>
          <w:sz w:val="32"/>
          <w:szCs w:val="32"/>
          <w:lang w:val="en-US" w:eastAsia="zh-CN"/>
        </w:rPr>
        <w:t>科</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文旅</w:t>
      </w:r>
      <w:r>
        <w:rPr>
          <w:rFonts w:hint="default" w:ascii="Times New Roman" w:hAnsi="Times New Roman" w:eastAsia="仿宋_GB2312" w:cs="Times New Roman"/>
          <w:sz w:val="32"/>
          <w:szCs w:val="32"/>
          <w:lang w:val="en"/>
        </w:rPr>
        <w:t>局</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大力发展残疾人体育事业。加快推进残疾人体育服务纳入公共体育基本服务体系，推动公共体育设施向残疾人免费或低收费开放。探索建立发现人才、培养人才、激励人才脱颖而出的机制，发展残疾人竞技体育</w:t>
      </w:r>
      <w:r>
        <w:rPr>
          <w:rFonts w:hint="default" w:ascii="Times New Roman" w:hAnsi="Times New Roman" w:eastAsia="仿宋_GB2312" w:cs="Times New Roman"/>
          <w:sz w:val="32"/>
          <w:szCs w:val="32"/>
          <w:lang w:eastAsia="zh-CN"/>
        </w:rPr>
        <w:t>，适时举办残疾人运动会</w:t>
      </w:r>
      <w:r>
        <w:rPr>
          <w:rFonts w:hint="default" w:ascii="Times New Roman" w:hAnsi="Times New Roman" w:eastAsia="仿宋_GB2312" w:cs="Times New Roman"/>
          <w:sz w:val="32"/>
          <w:szCs w:val="32"/>
        </w:rPr>
        <w:t>。积极推动残疾人群众体育、康复健身体育发展。继续开展“全国特奥日”“残疾人健身周”活动，组织残疾人参加各类群众性健身活动，推广残疾人全民健身运动。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w:t>
      </w:r>
      <w:r>
        <w:rPr>
          <w:rFonts w:hint="eastAsia" w:ascii="Times New Roman" w:hAnsi="Times New Roman" w:eastAsia="仿宋_GB2312" w:cs="Times New Roman"/>
          <w:sz w:val="32"/>
          <w:szCs w:val="32"/>
          <w:lang w:val="en-US" w:eastAsia="zh-CN"/>
        </w:rPr>
        <w:t>科</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eastAsia="zh-CN"/>
        </w:rPr>
        <w:t>县文旅局</w:t>
      </w:r>
      <w:r>
        <w:rPr>
          <w:rFonts w:hint="default" w:ascii="Times New Roman" w:hAnsi="Times New Roman" w:eastAsia="仿宋_GB2312" w:cs="Times New Roman"/>
          <w:sz w:val="32"/>
          <w:szCs w:val="32"/>
        </w:rPr>
        <w:t>）</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22" w:type="dxa"/>
            <w:vAlign w:val="center"/>
          </w:tcPr>
          <w:p>
            <w:pPr>
              <w:spacing w:line="360" w:lineRule="exact"/>
              <w:jc w:val="center"/>
              <w:rPr>
                <w:rFonts w:hint="default" w:ascii="Times New Roman" w:hAnsi="Times New Roman" w:eastAsia="华文宋体" w:cs="Times New Roman"/>
                <w:b/>
                <w:bCs/>
                <w:sz w:val="28"/>
                <w:szCs w:val="28"/>
              </w:rPr>
            </w:pPr>
            <w:r>
              <w:rPr>
                <w:rFonts w:hint="default" w:ascii="Times New Roman" w:hAnsi="Times New Roman" w:eastAsia="华文宋体" w:cs="Times New Roman"/>
                <w:b/>
                <w:bCs/>
                <w:sz w:val="28"/>
                <w:szCs w:val="28"/>
              </w:rPr>
              <w:t>残疾人文化体育服务重点项目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spacing w:line="36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“五个一”文化进家庭、进社区项目。为重度残疾人家庭开展“读一本书、看一场电影、游一次园、参观一次展览、参加一次文化活动”文化服务。</w:t>
            </w:r>
          </w:p>
          <w:p>
            <w:pPr>
              <w:spacing w:line="36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盲人文化服务项目。推动</w:t>
            </w:r>
            <w:r>
              <w:rPr>
                <w:rFonts w:hint="default" w:ascii="Times New Roman" w:hAnsi="Times New Roman" w:eastAsia="仿宋_GB2312" w:cs="Times New Roman"/>
                <w:sz w:val="24"/>
                <w:lang w:eastAsia="zh-CN"/>
              </w:rPr>
              <w:t>县、乡</w:t>
            </w:r>
            <w:r>
              <w:rPr>
                <w:rFonts w:hint="default" w:ascii="Times New Roman" w:hAnsi="Times New Roman" w:eastAsia="仿宋_GB2312" w:cs="Times New Roman"/>
                <w:sz w:val="24"/>
              </w:rPr>
              <w:t>两级公共图书馆盲人阅览室（区）建设，增加盲文读物、有声读物、大字读物、数字阅读、无障碍电影电视剧等产品和服务。鼓励电影院线、有线电视提供无障碍影视服务。</w:t>
            </w:r>
          </w:p>
          <w:p>
            <w:pPr>
              <w:spacing w:line="36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聋人文化服务项目。鼓励影视作品、网络视频加配字幕，鼓励有条件的</w:t>
            </w:r>
            <w:r>
              <w:rPr>
                <w:rFonts w:hint="default" w:ascii="Times New Roman" w:hAnsi="Times New Roman" w:eastAsia="仿宋_GB2312" w:cs="Times New Roman"/>
                <w:sz w:val="24"/>
                <w:lang w:eastAsia="zh-CN"/>
              </w:rPr>
              <w:t>县</w:t>
            </w:r>
            <w:r>
              <w:rPr>
                <w:rFonts w:hint="default" w:ascii="Times New Roman" w:hAnsi="Times New Roman" w:eastAsia="仿宋_GB2312" w:cs="Times New Roman"/>
                <w:sz w:val="24"/>
              </w:rPr>
              <w:t>县两级电视台开播国家通用手语或实时字幕栏目。</w:t>
            </w:r>
          </w:p>
          <w:p>
            <w:pPr>
              <w:spacing w:line="36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特殊艺术推广项目。鼓励残疾人参与文化创作，培养残疾人特殊艺术人才和师资，扶持残疾人艺术团体创编精品节目。</w:t>
            </w:r>
          </w:p>
          <w:p>
            <w:pPr>
              <w:spacing w:line="36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残疾人文化产业发展项目。支持重点文化产业基地发展。</w:t>
            </w:r>
          </w:p>
          <w:p>
            <w:pPr>
              <w:spacing w:line="36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残疾人体育水平提升行动。完善残疾人体育竞赛训练保障和服务能力，以赛促训，推动我</w:t>
            </w:r>
            <w:r>
              <w:rPr>
                <w:rFonts w:hint="default" w:ascii="Times New Roman" w:hAnsi="Times New Roman" w:eastAsia="仿宋_GB2312" w:cs="Times New Roman"/>
                <w:sz w:val="24"/>
                <w:lang w:eastAsia="zh-CN"/>
              </w:rPr>
              <w:t>县</w:t>
            </w:r>
            <w:r>
              <w:rPr>
                <w:rFonts w:hint="default" w:ascii="Times New Roman" w:hAnsi="Times New Roman" w:eastAsia="仿宋_GB2312" w:cs="Times New Roman"/>
                <w:sz w:val="24"/>
              </w:rPr>
              <w:t>残疾人体育事业全面发展。</w:t>
            </w:r>
          </w:p>
          <w:p>
            <w:pPr>
              <w:pStyle w:val="5"/>
              <w:rPr>
                <w:rFonts w:hint="default"/>
              </w:rPr>
            </w:pPr>
          </w:p>
          <w:p>
            <w:pPr>
              <w:spacing w:line="36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7</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优秀运动员培养和输送行动。选拔优秀运动员进行有针对性训练，不断提升竞技水平。</w:t>
            </w:r>
          </w:p>
          <w:p>
            <w:pPr>
              <w:spacing w:line="360" w:lineRule="exact"/>
              <w:ind w:firstLine="480" w:firstLineChars="200"/>
              <w:rPr>
                <w:rFonts w:hint="default" w:ascii="Times New Roman" w:hAnsi="Times New Roman" w:eastAsia="CESI仿宋-GB2312" w:cs="Times New Roman"/>
                <w:sz w:val="24"/>
              </w:rPr>
            </w:pPr>
            <w:r>
              <w:rPr>
                <w:rFonts w:hint="default" w:ascii="Times New Roman" w:hAnsi="Times New Roman" w:eastAsia="仿宋_GB2312" w:cs="Times New Roman"/>
                <w:sz w:val="24"/>
              </w:rPr>
              <w:t>8</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残疾人康复健身体育行动。充分发挥残疾人康复健身社会体育指导员作用，依托残疾人康复健身示范点，推广适合残疾人的康复健身项目和方法。继续举办“全国特奥日”“残疾人健身周”等活动。</w:t>
            </w:r>
          </w:p>
        </w:tc>
      </w:tr>
    </w:tbl>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广泛发展残疾人慈善事业和志愿服务。鼓励残联、工会、共青团、妇联、科协等群团组织和社会组织、企事业单位实施助残慈善项目，打造长期稳定的志愿助残服务队伍，开展志愿服务关爱行动，促进志愿助残活动向社区、残疾人服务机构和残疾人家庭延伸。培育残疾人慈善事业和志愿服务品牌。（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val="en"/>
        </w:rPr>
        <w:t>局</w:t>
      </w:r>
      <w:r>
        <w:rPr>
          <w:rFonts w:hint="default" w:ascii="Times New Roman" w:hAnsi="Times New Roman" w:eastAsia="仿宋_GB2312" w:cs="Times New Roman"/>
          <w:sz w:val="32"/>
          <w:szCs w:val="32"/>
        </w:rPr>
        <w:t>；参与单位：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总工会、团</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妇联、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科协、</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（五）保障残疾人合法权益，为残疾人提供便利化条件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提高残疾人事业法治化水平。积极推进和落实有关保障残疾人合法权益的法律法规。将《中华人民共和国残疾人保障法》《山西省残疾人保障条例》《山西省实施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无障碍环境建设条例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办法》等相关法律法规纳入全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八五”普法宣传活动中，加大宣传力度，提高公众及残疾人的知晓度，增强全民法治意识，形成保障残疾人合法权益的良好社会氛围。配合人大、政协开展残疾人保障法等法律法规执法检查、视察和调研。（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司法局）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加强维护残疾人合法权益和法律服务。充分发挥法律维权示范岗作用，开展法律援助志愿者助残行动，为残疾人提供及时有效的无障碍公共法律服务。加强残疾人法律救助站规范化建设，加大对残疾人的司法救助力度，方便残疾人诉讼。残疾人申请追索赡养费、抚养费、劳动报酬、工伤赔偿、抚恤金，办理司法鉴定、公证等法律事务，符合法律援助条件的，法律援助机构应当优先给予法律援助。发挥政府网络信访服务平台和“12385”残疾人服务热线作用，加强残疾人信访工作，积极畅通信访渠道，及时解决信访事项。建立健全残疾人权益维护应急处置机制，坚决打击侵害残疾人权益的违法犯罪行为，依法依规保障残疾人合法权益。支持更多残疾人、残疾人亲友和残疾人工作者进入各级人大、政协履行职责，拓宽残疾人组织和残疾人民主参与、民主协商渠道，切实保障残疾人知情权、参与权、表达权、监督权。（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公安局、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司法局）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推进无障碍环境建设和提升信息无障碍建设水平。在城乡基础设施新建和改建中统筹推进无障碍设施建设。全面推进各级党政机关、学校、社区、交通、医疗、金融、商业、文体等各类公共场所和设施的无障碍改造。加强新建、改建设施的规划、设计、施工、验收监管，新建项目无障碍设施建设率达到100%。加强对无障碍设施的日常维护和监督管理，将无障碍设施建设纳入城</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社区“网络化”管理，建立健全无障碍环境建设督导促进工作机制。贯彻落实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山西省“十四五”困难重度残疾人家庭无障碍改造</w:t>
      </w:r>
      <w:r>
        <w:rPr>
          <w:rFonts w:hint="default" w:ascii="Times New Roman" w:hAnsi="Times New Roman" w:eastAsia="仿宋_GB2312" w:cs="Times New Roman"/>
          <w:sz w:val="32"/>
          <w:szCs w:val="32"/>
          <w:lang w:eastAsia="zh-CN"/>
        </w:rPr>
        <w:t>实施方案》（晋残联〔</w:t>
      </w:r>
      <w:r>
        <w:rPr>
          <w:rFonts w:hint="eastAsia"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43</w:t>
      </w:r>
      <w:r>
        <w:rPr>
          <w:rFonts w:hint="default" w:ascii="Times New Roman" w:hAnsi="Times New Roman" w:eastAsia="仿宋_GB2312" w:cs="Times New Roman"/>
          <w:sz w:val="32"/>
          <w:szCs w:val="32"/>
          <w:lang w:eastAsia="zh-CN"/>
        </w:rPr>
        <w:t>号）</w:t>
      </w:r>
      <w:r>
        <w:rPr>
          <w:rFonts w:hint="default" w:ascii="Times New Roman" w:hAnsi="Times New Roman" w:eastAsia="仿宋_GB2312" w:cs="Times New Roman"/>
          <w:sz w:val="32"/>
          <w:szCs w:val="32"/>
        </w:rPr>
        <w:t>，高质量完成国家和省下达的困难重度残疾人家庭无障碍改造任务，积极自筹资金开展改造，力争实现有需求改造户“应改尽改”。加快政府政务服务等领域平台的信息无障碍建设，公共服务场所普遍配置信息无障碍设施设备，为残疾人获得公共服务提供便利。将信息无障碍纳入文明城</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测评指标。（责任单位：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文明办、</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工信局、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住建局、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522" w:type="dxa"/>
            <w:vAlign w:val="center"/>
          </w:tcPr>
          <w:p>
            <w:pPr>
              <w:jc w:val="center"/>
              <w:rPr>
                <w:rFonts w:hint="default" w:ascii="Times New Roman" w:hAnsi="Times New Roman" w:eastAsia="华文宋体" w:cs="Times New Roman"/>
                <w:b/>
                <w:bCs/>
                <w:sz w:val="28"/>
                <w:szCs w:val="28"/>
              </w:rPr>
            </w:pPr>
            <w:r>
              <w:rPr>
                <w:rFonts w:hint="default" w:ascii="Times New Roman" w:hAnsi="Times New Roman" w:eastAsia="华文宋体" w:cs="Times New Roman"/>
                <w:b/>
                <w:bCs/>
                <w:sz w:val="28"/>
                <w:szCs w:val="28"/>
              </w:rPr>
              <w:t>无障碍重点项目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spacing w:line="380" w:lineRule="exact"/>
              <w:ind w:firstLine="420"/>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道路交通无障碍。</w:t>
            </w:r>
            <w:r>
              <w:rPr>
                <w:rFonts w:hint="default" w:ascii="Times New Roman" w:hAnsi="Times New Roman" w:eastAsia="仿宋_GB2312" w:cs="Times New Roman"/>
                <w:sz w:val="24"/>
                <w:lang w:eastAsia="zh-CN"/>
              </w:rPr>
              <w:t>城市</w:t>
            </w:r>
            <w:r>
              <w:rPr>
                <w:rFonts w:hint="default" w:ascii="Times New Roman" w:hAnsi="Times New Roman" w:eastAsia="仿宋_GB2312" w:cs="Times New Roman"/>
                <w:sz w:val="24"/>
              </w:rPr>
              <w:t>主要</w:t>
            </w:r>
            <w:r>
              <w:rPr>
                <w:rFonts w:hint="default" w:ascii="Times New Roman" w:hAnsi="Times New Roman" w:eastAsia="仿宋_GB2312" w:cs="Times New Roman"/>
                <w:sz w:val="24"/>
                <w:lang w:eastAsia="zh-CN"/>
              </w:rPr>
              <w:t>党群服务中心</w:t>
            </w:r>
            <w:r>
              <w:rPr>
                <w:rFonts w:hint="default" w:ascii="Times New Roman" w:hAnsi="Times New Roman" w:eastAsia="仿宋_GB2312" w:cs="Times New Roman"/>
                <w:sz w:val="24"/>
              </w:rPr>
              <w:t>、桥梁、人行天桥、地下通道、隧道、人行道等建设无障碍设施。公共场所、公共交通工具配备无障碍设备。</w:t>
            </w:r>
          </w:p>
          <w:p>
            <w:pPr>
              <w:spacing w:line="380" w:lineRule="exact"/>
              <w:ind w:firstLine="420"/>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公共服务设施无障碍。加快推动党政机关办公场所、党群服务中心、学校、医院、邮政、机场、车站等公共服务场所设施无障碍改造。</w:t>
            </w:r>
          </w:p>
          <w:p>
            <w:pPr>
              <w:spacing w:line="380" w:lineRule="exact"/>
              <w:ind w:firstLine="420"/>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家庭无障碍。为</w:t>
            </w:r>
            <w:r>
              <w:rPr>
                <w:rFonts w:hint="default" w:ascii="Times New Roman" w:hAnsi="Times New Roman" w:eastAsia="仿宋_GB2312" w:cs="Times New Roman"/>
                <w:sz w:val="24"/>
                <w:lang w:val="en-US" w:eastAsia="zh-CN"/>
              </w:rPr>
              <w:t>168</w:t>
            </w:r>
            <w:r>
              <w:rPr>
                <w:rFonts w:hint="default" w:ascii="Times New Roman" w:hAnsi="Times New Roman" w:eastAsia="仿宋_GB2312" w:cs="Times New Roman"/>
                <w:sz w:val="24"/>
              </w:rPr>
              <w:t>户困难重度残疾人家庭实施无障碍改造。</w:t>
            </w:r>
          </w:p>
          <w:p>
            <w:pPr>
              <w:spacing w:line="380" w:lineRule="exact"/>
              <w:ind w:firstLine="420"/>
              <w:rPr>
                <w:rFonts w:hint="default" w:ascii="Times New Roman" w:hAnsi="Times New Roman" w:eastAsia="仿宋_GB2312" w:cs="Times New Roman"/>
                <w:sz w:val="24"/>
              </w:rPr>
            </w:pPr>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政务信息无障碍。加快政府门户网站、政务服务平台和网上办事大厅信息无障碍建设。</w:t>
            </w:r>
          </w:p>
          <w:p>
            <w:pPr>
              <w:spacing w:line="380" w:lineRule="exact"/>
              <w:ind w:firstLine="420"/>
              <w:rPr>
                <w:rFonts w:hint="default" w:ascii="Times New Roman" w:hAnsi="Times New Roman" w:eastAsia="仿宋_GB2312" w:cs="Times New Roman"/>
                <w:sz w:val="24"/>
              </w:rPr>
            </w:pPr>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生活服务无障碍。提升售卖、就医、银行柜机、检票等自助公共服务设备的无障碍改造。</w:t>
            </w:r>
          </w:p>
          <w:p>
            <w:pPr>
              <w:spacing w:line="380" w:lineRule="exact"/>
              <w:ind w:firstLine="420"/>
              <w:rPr>
                <w:rFonts w:hint="default" w:ascii="Times New Roman" w:hAnsi="Times New Roman" w:eastAsia="仿宋_GB2312" w:cs="Times New Roman"/>
                <w:sz w:val="24"/>
              </w:rPr>
            </w:pPr>
            <w:r>
              <w:rPr>
                <w:rFonts w:hint="default" w:ascii="Times New Roman" w:hAnsi="Times New Roman" w:eastAsia="仿宋_GB2312" w:cs="Times New Roman"/>
                <w:sz w:val="24"/>
              </w:rPr>
              <w:t>6</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无障碍服务。政府新闻发布会和电视、网络发布突发公共事件信息时加配字幕和手语，医院、疏散避险场所和集中隔高场所等设置语音、字幕等信息提示装置。鼓励听力、言语残疾人无障碍信息服务平台建设。</w:t>
            </w:r>
          </w:p>
          <w:p>
            <w:pPr>
              <w:rPr>
                <w:rFonts w:hint="default" w:ascii="Times New Roman" w:hAnsi="Times New Roman" w:cs="Times New Roman"/>
              </w:rPr>
            </w:pPr>
          </w:p>
        </w:tc>
      </w:tr>
    </w:tbl>
    <w:p>
      <w:pPr>
        <w:spacing w:line="200" w:lineRule="exact"/>
        <w:ind w:firstLine="640" w:firstLineChars="200"/>
        <w:rPr>
          <w:rFonts w:hint="default" w:ascii="Times New Roman" w:hAnsi="Times New Roman" w:eastAsia="华文仿宋"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营造扶残助残文明社会氛围。坚持以社会主义核心价值观为引领，围绕举旗帜、聚民心、育新人、兴文化、展形象的使命任务，大力宣传残疾人事业发展成果，</w:t>
      </w:r>
      <w:r>
        <w:rPr>
          <w:rFonts w:hint="default" w:ascii="Times New Roman" w:hAnsi="Times New Roman" w:eastAsia="仿宋_GB2312" w:cs="Times New Roman"/>
          <w:sz w:val="32"/>
          <w:szCs w:val="32"/>
          <w:lang w:eastAsia="zh-CN"/>
        </w:rPr>
        <w:t>按规定</w:t>
      </w:r>
      <w:r>
        <w:rPr>
          <w:rFonts w:hint="default" w:ascii="Times New Roman" w:hAnsi="Times New Roman" w:eastAsia="仿宋_GB2312" w:cs="Times New Roman"/>
          <w:sz w:val="32"/>
          <w:szCs w:val="32"/>
        </w:rPr>
        <w:t>开展自强模范、助残先进评选表彰活动。将扶残助残纳入公民道德建设、文明创建活动和新时代文明实践中心建设，弘扬扶残助残和自强不息传统美德，营造全社会理解、尊重、关心、帮助残疾人的文明社会氛围。（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委宣传部，参与单位：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文明办、</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人社局、</w:t>
      </w:r>
      <w:r>
        <w:rPr>
          <w:rFonts w:hint="default" w:ascii="Times New Roman" w:hAnsi="Times New Roman" w:eastAsia="仿宋_GB2312" w:cs="Times New Roman"/>
          <w:sz w:val="32"/>
          <w:szCs w:val="32"/>
          <w:lang w:eastAsia="zh-CN"/>
        </w:rPr>
        <w:t>县文旅</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p>
    <w:p>
      <w:pPr>
        <w:rPr>
          <w:rFonts w:hint="default" w:ascii="Times New Roman" w:hAnsi="Times New Roman" w:eastAsia="楷体" w:cs="Times New Roman"/>
          <w:sz w:val="32"/>
          <w:szCs w:val="32"/>
        </w:rPr>
      </w:pP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楷体" w:cs="Times New Roman"/>
          <w:b w:val="0"/>
          <w:bCs w:val="0"/>
          <w:sz w:val="32"/>
          <w:szCs w:val="32"/>
          <w:lang w:val="en-US" w:eastAsia="zh-CN"/>
        </w:rPr>
        <w:t xml:space="preserve"> </w:t>
      </w:r>
      <w:r>
        <w:rPr>
          <w:rFonts w:hint="default" w:ascii="Times New Roman" w:hAnsi="Times New Roman" w:eastAsia="楷体" w:cs="Times New Roman"/>
          <w:b w:val="0"/>
          <w:bCs w:val="0"/>
          <w:sz w:val="32"/>
          <w:szCs w:val="32"/>
        </w:rPr>
        <w:t>（六）加强基础设施和信息化建设，促进残疾人事业高质量发展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lang w:eastAsia="zh-CN"/>
        </w:rPr>
        <w:t>加强基础设施建设。积极</w:t>
      </w:r>
      <w:r>
        <w:rPr>
          <w:rFonts w:hint="default" w:ascii="Times New Roman" w:hAnsi="Times New Roman" w:eastAsia="仿宋_GB2312" w:cs="Times New Roman"/>
          <w:sz w:val="32"/>
          <w:szCs w:val="32"/>
        </w:rPr>
        <w:t>推动</w:t>
      </w:r>
      <w:r>
        <w:rPr>
          <w:rFonts w:hint="default" w:ascii="Times New Roman" w:hAnsi="Times New Roman" w:eastAsia="仿宋_GB2312" w:cs="Times New Roman"/>
          <w:sz w:val="32"/>
          <w:szCs w:val="32"/>
          <w:lang w:eastAsia="zh-CN"/>
        </w:rPr>
        <w:t>县级残疾人服务设施建设。对残疾人康复、托养设施给予设备补助。</w:t>
      </w:r>
      <w:r>
        <w:rPr>
          <w:rFonts w:hint="default" w:ascii="Times New Roman" w:hAnsi="Times New Roman" w:eastAsia="仿宋_GB2312" w:cs="Times New Roman"/>
          <w:sz w:val="32"/>
          <w:szCs w:val="32"/>
        </w:rPr>
        <w:t>创新设施运营和服务供给模式，支持公建公营、公办合作经营，鼓励公建民营、混合经营等方式，推动残疾人服务设施的有效运营，发挥使用效益，切实增强服务能力。（牵头单位：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发改</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卫健</w:t>
      </w:r>
      <w:r>
        <w:rPr>
          <w:rFonts w:hint="eastAsia" w:ascii="Times New Roman" w:hAnsi="Times New Roman" w:eastAsia="仿宋_GB2312" w:cs="Times New Roman"/>
          <w:sz w:val="32"/>
          <w:szCs w:val="32"/>
          <w:lang w:val="en-US" w:eastAsia="zh-CN"/>
        </w:rPr>
        <w:t>体</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行政审批局）</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eastAsia="zh-CN"/>
        </w:rPr>
        <w:t>推动信息化建设。</w:t>
      </w:r>
      <w:r>
        <w:rPr>
          <w:rFonts w:hint="default" w:ascii="Times New Roman" w:hAnsi="Times New Roman" w:eastAsia="仿宋_GB2312" w:cs="Times New Roman"/>
          <w:sz w:val="32"/>
          <w:szCs w:val="32"/>
        </w:rPr>
        <w:t>加强特殊教育学校、残疾人服务设施和基层残疾人组织的信息基础设施建设。</w:t>
      </w:r>
      <w:r>
        <w:rPr>
          <w:rFonts w:hint="default" w:ascii="Times New Roman" w:hAnsi="Times New Roman" w:eastAsia="仿宋_GB2312" w:cs="Times New Roman"/>
          <w:sz w:val="32"/>
          <w:szCs w:val="32"/>
          <w:lang w:eastAsia="zh-CN"/>
        </w:rPr>
        <w:t>推动残疾人基本公共服务项目纳入各地政务服务“一网通办”平台。依托残联系统信息化服务平台，开展残疾人证的电子证照申领应用和“跨省通办”工作。</w:t>
      </w:r>
      <w:r>
        <w:rPr>
          <w:rFonts w:hint="default" w:ascii="Times New Roman" w:hAnsi="Times New Roman" w:eastAsia="仿宋_GB2312" w:cs="Times New Roman"/>
          <w:sz w:val="32"/>
          <w:szCs w:val="32"/>
        </w:rPr>
        <w:t>持续开展“全国持证残疾人基本状况调查”工作，完善残疾人口基础数据，加强对基本状况的调查评估和成果转化应用，推进数据信息资源共享和服务精准化。</w:t>
      </w:r>
      <w:r>
        <w:rPr>
          <w:rFonts w:hint="default" w:ascii="Times New Roman" w:hAnsi="Times New Roman" w:eastAsia="仿宋_GB2312" w:cs="Times New Roman"/>
          <w:sz w:val="32"/>
          <w:szCs w:val="32"/>
          <w:lang w:eastAsia="zh-CN"/>
        </w:rPr>
        <w:t>（牵头单位：县残联，参与单位：县发改</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eastAsia="zh-CN"/>
        </w:rPr>
        <w:t>、县民政局、县财政局、县卫健</w:t>
      </w:r>
      <w:r>
        <w:rPr>
          <w:rFonts w:hint="eastAsia" w:ascii="Times New Roman" w:hAnsi="Times New Roman" w:eastAsia="仿宋_GB2312" w:cs="Times New Roman"/>
          <w:sz w:val="32"/>
          <w:szCs w:val="32"/>
          <w:lang w:val="en-US" w:eastAsia="zh-CN"/>
        </w:rPr>
        <w:t>体局</w:t>
      </w:r>
      <w:r>
        <w:rPr>
          <w:rFonts w:hint="default" w:ascii="Times New Roman" w:hAnsi="Times New Roman" w:eastAsia="仿宋_GB2312" w:cs="Times New Roman"/>
          <w:sz w:val="32"/>
          <w:szCs w:val="32"/>
          <w:lang w:eastAsia="zh-CN"/>
        </w:rPr>
        <w:t>、县统计局、县</w:t>
      </w:r>
      <w:r>
        <w:rPr>
          <w:rFonts w:hint="default" w:ascii="Times New Roman" w:hAnsi="Times New Roman" w:eastAsia="仿宋_GB2312" w:cs="Times New Roman"/>
          <w:sz w:val="32"/>
          <w:szCs w:val="32"/>
        </w:rPr>
        <w:t>行政审批局</w:t>
      </w:r>
      <w:r>
        <w:rPr>
          <w:rFonts w:hint="default" w:ascii="Times New Roman" w:hAnsi="Times New Roman" w:eastAsia="仿宋_GB2312" w:cs="Times New Roman"/>
          <w:sz w:val="32"/>
          <w:szCs w:val="32"/>
          <w:lang w:eastAsia="zh-CN"/>
        </w:rPr>
        <w:t>）</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5" w:hRule="atLeast"/>
        </w:trPr>
        <w:tc>
          <w:tcPr>
            <w:tcW w:w="8522" w:type="dxa"/>
            <w:vAlign w:val="center"/>
          </w:tcPr>
          <w:p>
            <w:pPr>
              <w:spacing w:line="360" w:lineRule="exact"/>
              <w:jc w:val="center"/>
              <w:rPr>
                <w:rFonts w:hint="default" w:ascii="Times New Roman" w:hAnsi="Times New Roman" w:eastAsia="华文宋体" w:cs="Times New Roman"/>
                <w:b/>
                <w:bCs/>
                <w:sz w:val="28"/>
                <w:szCs w:val="28"/>
              </w:rPr>
            </w:pPr>
            <w:r>
              <w:rPr>
                <w:rFonts w:hint="default" w:ascii="Times New Roman" w:hAnsi="Times New Roman" w:eastAsia="华文宋体" w:cs="Times New Roman"/>
                <w:b/>
                <w:bCs/>
                <w:sz w:val="28"/>
                <w:szCs w:val="28"/>
              </w:rPr>
              <w:t>基础设施、信息化重点项目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残疾人服务设施兜底线工程项目。推动</w:t>
            </w:r>
            <w:r>
              <w:rPr>
                <w:rFonts w:hint="default" w:ascii="Times New Roman" w:hAnsi="Times New Roman" w:eastAsia="仿宋_GB2312" w:cs="Times New Roman"/>
                <w:sz w:val="24"/>
                <w:lang w:eastAsia="zh-CN"/>
              </w:rPr>
              <w:t>县康复中心投入运行</w:t>
            </w:r>
            <w:r>
              <w:rPr>
                <w:rFonts w:hint="default" w:ascii="Times New Roman" w:hAnsi="Times New Roman" w:eastAsia="仿宋_GB2312" w:cs="Times New Roman"/>
                <w:sz w:val="24"/>
              </w:rPr>
              <w:t>。</w:t>
            </w:r>
          </w:p>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特殊教育学校提升项目。鼓励设置特殊教育学校。</w:t>
            </w:r>
          </w:p>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精神卫生福利设施建设项目。优化精神卫生社会福利机构布局，改善现有设施条件，为困难精神障碍患者提供集中照护、康复服务。</w:t>
            </w:r>
          </w:p>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4</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互联网康复项目。利用线上线下相结合的康复服务平台，为基层康复机构、残疾人、残疾儿童少年及其家长提供指导和服务。</w:t>
            </w:r>
          </w:p>
          <w:p>
            <w:pPr>
              <w:spacing w:line="380" w:lineRule="exact"/>
              <w:ind w:firstLine="480" w:firstLineChars="200"/>
              <w:rPr>
                <w:rFonts w:hint="default" w:ascii="Times New Roman" w:hAnsi="Times New Roman" w:eastAsia="CESI仿宋-GB2312" w:cs="Times New Roman"/>
                <w:sz w:val="24"/>
              </w:rPr>
            </w:pPr>
            <w:r>
              <w:rPr>
                <w:rFonts w:hint="default" w:ascii="Times New Roman" w:hAnsi="Times New Roman" w:eastAsia="仿宋_GB2312" w:cs="Times New Roman"/>
                <w:sz w:val="24"/>
              </w:rPr>
              <w:t>5</w:t>
            </w:r>
            <w:r>
              <w:rPr>
                <w:rFonts w:hint="default" w:ascii="Times New Roman" w:hAnsi="Times New Roman" w:eastAsia="仿宋_GB2312" w:cs="Times New Roman"/>
                <w:sz w:val="24"/>
                <w:lang w:eastAsia="zh-CN"/>
              </w:rPr>
              <w:t xml:space="preserve">. </w:t>
            </w:r>
            <w:r>
              <w:rPr>
                <w:rFonts w:hint="default" w:ascii="Times New Roman" w:hAnsi="Times New Roman" w:eastAsia="仿宋_GB2312" w:cs="Times New Roman"/>
                <w:sz w:val="24"/>
              </w:rPr>
              <w:t>残疾人就业创业网络服务平台项目。利用好山西省残疾人就业创业网络服务平台、全国残疾人职业技能培训管理系统、残疾人就业服务管理系统、残疾人按比例就业情况联网认证系统和盲人医疗按摩人员管理系统相关数据信息。</w:t>
            </w:r>
          </w:p>
        </w:tc>
      </w:tr>
    </w:tbl>
    <w:p>
      <w:pPr>
        <w:spacing w:line="200" w:lineRule="exact"/>
        <w:ind w:firstLine="640" w:firstLineChars="200"/>
        <w:rPr>
          <w:rFonts w:hint="default" w:ascii="Times New Roman" w:hAnsi="Times New Roman" w:eastAsia="CESI仿宋-GB2312"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、保障措施</w:t>
      </w:r>
    </w:p>
    <w:p>
      <w:pPr>
        <w:ind w:firstLine="640" w:firstLineChars="200"/>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（一）强化残疾人事业领导体制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加强党对残疾人工作的领导，确保党中央、国务院、省委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省政府</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政府的决策部署有效落实，为残疾人事业发展提供坚强政治保障。完善党委领导、政府负责、部门协同、社会参与、</w:t>
      </w:r>
      <w:r>
        <w:rPr>
          <w:rFonts w:hint="default" w:ascii="Times New Roman" w:hAnsi="Times New Roman" w:eastAsia="仿宋_GB2312" w:cs="Times New Roman"/>
          <w:sz w:val="32"/>
          <w:szCs w:val="32"/>
          <w:lang w:eastAsia="zh-CN"/>
        </w:rPr>
        <w:t>市场</w:t>
      </w:r>
      <w:r>
        <w:rPr>
          <w:rFonts w:hint="default" w:ascii="Times New Roman" w:hAnsi="Times New Roman" w:eastAsia="仿宋_GB2312" w:cs="Times New Roman"/>
          <w:sz w:val="32"/>
          <w:szCs w:val="32"/>
        </w:rPr>
        <w:t>推动、残疾人组织充分发挥作用的领导体制和工作机制。各级政府残疾人工作委员会统筹协调，有关部门分工协作，履职尽责，形成协同高效的工作合力。</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残疾人工作委员会要加强对残疾人工作的督导检查。（牵头单位：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政府残疾人工作委员会各成员单位）</w:t>
      </w:r>
    </w:p>
    <w:p>
      <w:pPr>
        <w:ind w:firstLine="640" w:firstLineChars="200"/>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（二）健全多元化投入格局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优化和完善以各</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级财政“一般性公共预算”投入为主，“福彩”“体彩”资金支持、社会资本和公益捐赠为补充的残疾人事业多元化投入机制。各级财政做好残疾人事业经费保障，按照支出标准和支出责任科学安排经费。加快构建全方位、全过程、全覆盖的预算绩效管理体系，资金优先向绩效评价优、残疾人满意度高的项目倾斜。（牵头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财政局；参与单位：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税务局、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p>
    <w:p>
      <w:pPr>
        <w:ind w:firstLine="640" w:firstLineChars="200"/>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（三）加强残疾人事业人才培养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加强残疾人服务从业人员职业能力建设和职称评定，加快培养残疾人康复、教育、就业、托养照护、文化、体育、社会工作等专业人才队伍。（责任单位：</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w:t>
      </w:r>
      <w:r>
        <w:rPr>
          <w:rFonts w:hint="eastAsia" w:ascii="Times New Roman" w:hAnsi="Times New Roman" w:eastAsia="仿宋_GB2312" w:cs="Times New Roman"/>
          <w:sz w:val="32"/>
          <w:szCs w:val="32"/>
          <w:lang w:val="en-US" w:eastAsia="zh-CN"/>
        </w:rPr>
        <w:t>科</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人社局、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文旅局、</w:t>
      </w:r>
      <w:r>
        <w:rPr>
          <w:rFonts w:hint="default"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lang w:val="en-US" w:eastAsia="zh-CN"/>
        </w:rPr>
        <w:t>卫健</w:t>
      </w:r>
      <w:r>
        <w:rPr>
          <w:rFonts w:hint="default" w:ascii="Times New Roman" w:hAnsi="Times New Roman" w:eastAsia="仿宋_GB2312" w:cs="Times New Roman"/>
          <w:sz w:val="32"/>
          <w:szCs w:val="32"/>
        </w:rPr>
        <w:t>体局、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残联）</w:t>
      </w:r>
    </w:p>
    <w:p>
      <w:pPr>
        <w:ind w:firstLine="640" w:firstLineChars="200"/>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（四）提升基层为残疾人服务能力</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将残疾人公共服务纳入乡（镇）</w:t>
      </w:r>
      <w:r>
        <w:rPr>
          <w:rFonts w:hint="default" w:ascii="Times New Roman" w:hAnsi="Times New Roman" w:eastAsia="仿宋_GB2312" w:cs="Times New Roman"/>
          <w:sz w:val="32"/>
          <w:szCs w:val="32"/>
          <w:lang w:eastAsia="zh-CN"/>
        </w:rPr>
        <w:t>、党群服务中心</w:t>
      </w:r>
      <w:r>
        <w:rPr>
          <w:rFonts w:hint="default" w:ascii="Times New Roman" w:hAnsi="Times New Roman" w:eastAsia="仿宋_GB2312" w:cs="Times New Roman"/>
          <w:sz w:val="32"/>
          <w:szCs w:val="32"/>
        </w:rPr>
        <w:t>政府公共服务事项清单和村（居）委会承担的社区工作事项清单及协助政府的社区工作事项清单。在“全科网格”建设中，将涉残事项纳入网格化管理，做到精细化服务；对侵犯残疾人合法权益的违法犯罪行为，及时报告并采取有效措施加以解决。以加快推动太忻一体化经济区建设为契机，促进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残疾人事业城乡、区域协同发展。实施县域残疾人服务能力提升行动，建设县、乡、村三级联动互补的基层残疾人服务网络。加强残疾人个性化服务，开展特殊困难残疾人访视工作，对残疾人特殊困难推行便利化服务。严格规范残疾评定和残疾人证核发管理，为行动不便重度残疾人开展残疾评定上门服务，加强评定医师和业务人员规范化培训。（牵头单位：</w:t>
      </w:r>
      <w:r>
        <w:rPr>
          <w:rFonts w:hint="default" w:ascii="Times New Roman" w:hAnsi="Times New Roman" w:eastAsia="仿宋_GB2312" w:cs="Times New Roman"/>
          <w:sz w:val="32"/>
          <w:szCs w:val="32"/>
          <w:lang w:val="en" w:eastAsia="zh-CN"/>
        </w:rPr>
        <w:t>县</w:t>
      </w:r>
      <w:r>
        <w:rPr>
          <w:rFonts w:hint="default" w:ascii="Times New Roman" w:hAnsi="Times New Roman" w:eastAsia="仿宋_GB2312" w:cs="Times New Roman"/>
          <w:sz w:val="32"/>
          <w:szCs w:val="32"/>
        </w:rPr>
        <w:t>残联；参与单位：</w:t>
      </w:r>
      <w:r>
        <w:rPr>
          <w:rFonts w:hint="default" w:ascii="Times New Roman" w:hAnsi="Times New Roman" w:eastAsia="仿宋_GB2312" w:cs="Times New Roman"/>
          <w:sz w:val="32"/>
          <w:szCs w:val="32"/>
          <w:lang w:val="en" w:eastAsia="zh-CN"/>
        </w:rPr>
        <w:t>县</w:t>
      </w:r>
      <w:r>
        <w:rPr>
          <w:rFonts w:hint="default" w:ascii="Times New Roman" w:hAnsi="Times New Roman" w:eastAsia="仿宋_GB2312" w:cs="Times New Roman"/>
          <w:sz w:val="32"/>
          <w:szCs w:val="32"/>
        </w:rPr>
        <w:t>委政法委、</w:t>
      </w:r>
      <w:r>
        <w:rPr>
          <w:rFonts w:hint="default" w:ascii="Times New Roman" w:hAnsi="Times New Roman" w:eastAsia="仿宋_GB2312" w:cs="Times New Roman"/>
          <w:sz w:val="32"/>
          <w:szCs w:val="32"/>
          <w:lang w:val="en" w:eastAsia="zh-CN"/>
        </w:rPr>
        <w:t>县</w:t>
      </w:r>
      <w:r>
        <w:rPr>
          <w:rFonts w:hint="default" w:ascii="Times New Roman" w:hAnsi="Times New Roman" w:eastAsia="仿宋_GB2312" w:cs="Times New Roman"/>
          <w:sz w:val="32"/>
          <w:szCs w:val="32"/>
        </w:rPr>
        <w:t>公安局、</w:t>
      </w:r>
      <w:r>
        <w:rPr>
          <w:rFonts w:hint="default" w:ascii="Times New Roman" w:hAnsi="Times New Roman" w:eastAsia="仿宋_GB2312" w:cs="Times New Roman"/>
          <w:sz w:val="32"/>
          <w:szCs w:val="32"/>
          <w:lang w:val="en" w:eastAsia="zh-CN"/>
        </w:rPr>
        <w:t>县</w:t>
      </w:r>
      <w:r>
        <w:rPr>
          <w:rFonts w:hint="default" w:ascii="Times New Roman" w:hAnsi="Times New Roman" w:eastAsia="仿宋_GB2312" w:cs="Times New Roman"/>
          <w:sz w:val="32"/>
          <w:szCs w:val="32"/>
        </w:rPr>
        <w:t>民政局、</w:t>
      </w:r>
      <w:r>
        <w:rPr>
          <w:rFonts w:hint="default" w:ascii="Times New Roman" w:hAnsi="Times New Roman" w:eastAsia="仿宋_GB2312" w:cs="Times New Roman"/>
          <w:sz w:val="32"/>
          <w:szCs w:val="32"/>
          <w:lang w:val="en" w:eastAsia="zh-CN"/>
        </w:rPr>
        <w:t>县</w:t>
      </w:r>
      <w:r>
        <w:rPr>
          <w:rFonts w:hint="default" w:ascii="Times New Roman" w:hAnsi="Times New Roman" w:eastAsia="仿宋_GB2312" w:cs="Times New Roman"/>
          <w:sz w:val="32"/>
          <w:szCs w:val="32"/>
        </w:rPr>
        <w:t>人社局、</w:t>
      </w:r>
      <w:r>
        <w:rPr>
          <w:rFonts w:hint="default" w:ascii="Times New Roman" w:hAnsi="Times New Roman" w:eastAsia="仿宋_GB2312" w:cs="Times New Roman"/>
          <w:sz w:val="32"/>
          <w:szCs w:val="32"/>
          <w:lang w:val="en" w:eastAsia="zh-CN"/>
        </w:rPr>
        <w:t>县</w:t>
      </w:r>
      <w:r>
        <w:rPr>
          <w:rFonts w:hint="default" w:ascii="Times New Roman" w:hAnsi="Times New Roman" w:eastAsia="仿宋_GB2312" w:cs="Times New Roman"/>
          <w:sz w:val="32"/>
          <w:szCs w:val="32"/>
        </w:rPr>
        <w:t>卫健</w:t>
      </w:r>
      <w:r>
        <w:rPr>
          <w:rFonts w:hint="eastAsia" w:ascii="Times New Roman" w:hAnsi="Times New Roman" w:eastAsia="仿宋_GB2312" w:cs="Times New Roman"/>
          <w:sz w:val="32"/>
          <w:szCs w:val="32"/>
          <w:lang w:val="en-US" w:eastAsia="zh-CN"/>
        </w:rPr>
        <w:t>体</w:t>
      </w:r>
      <w:r>
        <w:rPr>
          <w:rFonts w:hint="default" w:ascii="Times New Roman" w:hAnsi="Times New Roman" w:eastAsia="仿宋_GB2312" w:cs="Times New Roman"/>
          <w:sz w:val="32"/>
          <w:szCs w:val="32"/>
          <w:lang w:eastAsia="zh-CN"/>
        </w:rPr>
        <w:t>局</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（五）充分发挥残疾人组织桥梁纽带作用</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各级残联要加强自身建设，改进工作作风，增强工作活力，履行好“代表、服务、管理”职能。落实《关于加强和改进村（社区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残疾人协会工作的实施意见》，强化县和乡镇（</w:t>
      </w:r>
      <w:r>
        <w:rPr>
          <w:rFonts w:hint="default" w:ascii="Times New Roman" w:hAnsi="Times New Roman" w:eastAsia="仿宋_GB2312" w:cs="Times New Roman"/>
          <w:sz w:val="32"/>
          <w:szCs w:val="32"/>
          <w:lang w:eastAsia="zh-CN"/>
        </w:rPr>
        <w:t>党群服务中心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残联建设，实现村（社区）残疾人协会全覆盖。落实新修订的《村（社区）残协工作规范》和《专职委员工作规范》，提升残协标准化规范化建设水平。支持残疾人专门协会建设，发挥“代表、服务、维权、监督”职能。重视各级残联残疾人干部、年轻干部、基层干部培养选拔。充分利用换届契机，选优配齐各级残联领导班子。通过专兼挂等多种方式增强残联代表性，优化残联干部结构，提升残联干部能力。（牵头单位：</w:t>
      </w:r>
      <w:r>
        <w:rPr>
          <w:rFonts w:hint="default" w:ascii="Times New Roman" w:hAnsi="Times New Roman" w:eastAsia="仿宋_GB2312" w:cs="Times New Roman"/>
          <w:sz w:val="32"/>
          <w:szCs w:val="32"/>
          <w:lang w:val="en" w:eastAsia="zh-CN"/>
        </w:rPr>
        <w:t>县</w:t>
      </w:r>
      <w:r>
        <w:rPr>
          <w:rFonts w:hint="default" w:ascii="Times New Roman" w:hAnsi="Times New Roman" w:eastAsia="仿宋_GB2312" w:cs="Times New Roman"/>
          <w:sz w:val="32"/>
          <w:szCs w:val="32"/>
        </w:rPr>
        <w:t>残联，参与单位：</w:t>
      </w:r>
      <w:r>
        <w:rPr>
          <w:rFonts w:hint="default" w:ascii="Times New Roman" w:hAnsi="Times New Roman" w:eastAsia="仿宋_GB2312" w:cs="Times New Roman"/>
          <w:sz w:val="32"/>
          <w:szCs w:val="32"/>
          <w:lang w:val="en" w:eastAsia="zh-CN"/>
        </w:rPr>
        <w:t>县</w:t>
      </w:r>
      <w:r>
        <w:rPr>
          <w:rFonts w:hint="default" w:ascii="Times New Roman" w:hAnsi="Times New Roman" w:eastAsia="仿宋_GB2312" w:cs="Times New Roman"/>
          <w:sz w:val="32"/>
          <w:szCs w:val="32"/>
        </w:rPr>
        <w:t>委组织部、</w:t>
      </w:r>
      <w:r>
        <w:rPr>
          <w:rFonts w:hint="default" w:ascii="Times New Roman" w:hAnsi="Times New Roman" w:eastAsia="仿宋_GB2312" w:cs="Times New Roman"/>
          <w:sz w:val="32"/>
          <w:szCs w:val="32"/>
          <w:lang w:val="en" w:eastAsia="zh-CN"/>
        </w:rPr>
        <w:t>县</w:t>
      </w:r>
      <w:r>
        <w:rPr>
          <w:rFonts w:hint="default" w:ascii="Times New Roman" w:hAnsi="Times New Roman" w:eastAsia="仿宋_GB2312" w:cs="Times New Roman"/>
          <w:sz w:val="32"/>
          <w:szCs w:val="32"/>
        </w:rPr>
        <w:t>民政局、</w:t>
      </w:r>
      <w:r>
        <w:rPr>
          <w:rFonts w:hint="default" w:ascii="Times New Roman" w:hAnsi="Times New Roman" w:eastAsia="仿宋_GB2312" w:cs="Times New Roman"/>
          <w:sz w:val="32"/>
          <w:szCs w:val="32"/>
          <w:lang w:val="en" w:eastAsia="zh-CN"/>
        </w:rPr>
        <w:t>县</w:t>
      </w:r>
      <w:r>
        <w:rPr>
          <w:rFonts w:hint="default" w:ascii="Times New Roman" w:hAnsi="Times New Roman" w:eastAsia="仿宋_GB2312" w:cs="Times New Roman"/>
          <w:sz w:val="32"/>
          <w:szCs w:val="32"/>
        </w:rPr>
        <w:t>财政局、</w:t>
      </w:r>
      <w:r>
        <w:rPr>
          <w:rFonts w:hint="default" w:ascii="Times New Roman" w:hAnsi="Times New Roman" w:eastAsia="仿宋_GB2312" w:cs="Times New Roman"/>
          <w:sz w:val="32"/>
          <w:szCs w:val="32"/>
          <w:lang w:val="en" w:eastAsia="zh-CN"/>
        </w:rPr>
        <w:t>县</w:t>
      </w:r>
      <w:r>
        <w:rPr>
          <w:rFonts w:hint="default" w:ascii="Times New Roman" w:hAnsi="Times New Roman" w:eastAsia="仿宋_GB2312" w:cs="Times New Roman"/>
          <w:sz w:val="32"/>
          <w:szCs w:val="32"/>
        </w:rPr>
        <w:t>人社局</w:t>
      </w:r>
      <w:r>
        <w:rPr>
          <w:rFonts w:hint="eastAsia"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人民政府残疾人工作委员会及有关部门要对规划实施情况开展年度监测、中期评估和总结评估，开展第三方评估和社会满意度调查，及时发现和解决规划实施中出现的问题。“十四五”时期末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对规划实施情况进行评估总结。</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实施好本规划是各级政府和全社会的责任。</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政府有关部门要根据职责分工做好相关政策与本规划的衔接，明确责任主体和进度要求。乡镇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党群服务中心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要依据本规划制定当地“十四五”残疾人保障和发展规划或实施方案，确保各项任务落到实处。各级人民政府要将规划实施情况纳入政府目标管理和绩效考核内容。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楷体">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CESI仿宋-GB2312">
    <w:altName w:val="仿宋"/>
    <w:panose1 w:val="02000500000000000000"/>
    <w:charset w:val="86"/>
    <w:family w:val="auto"/>
    <w:pitch w:val="default"/>
    <w:sig w:usb0="00000000" w:usb1="00000000" w:usb2="00000010" w:usb3="00000000" w:csb0="0004000F"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jBjMTE2MTY3YmYwZGVlNGNlMTViOWRhMWI3ZDgifQ=="/>
  </w:docVars>
  <w:rsids>
    <w:rsidRoot w:val="00000000"/>
    <w:rsid w:val="32221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Body Text First Indent 21"/>
    <w:basedOn w:val="6"/>
    <w:qFormat/>
    <w:uiPriority w:val="0"/>
    <w:pPr>
      <w:widowControl w:val="0"/>
      <w:spacing w:after="120" w:afterLines="0" w:afterAutospacing="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6">
    <w:name w:val="Body Text Indent1"/>
    <w:qFormat/>
    <w:uiPriority w:val="0"/>
    <w:pPr>
      <w:widowControl w:val="0"/>
      <w:spacing w:after="120" w:afterLines="0" w:afterAutospacing="0"/>
      <w:ind w:left="420" w:left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晒化的巧克力</cp:lastModifiedBy>
  <dcterms:modified xsi:type="dcterms:W3CDTF">2022-11-14T08:11:53Z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4A75C368FC5841B08C56248BA84A8012</vt:lpwstr>
  </property>
</Properties>
</file>