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粮食突发事件应急处置流程图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7" o:spid="_x0000_s1051" style="position:absolute;left:0;margin-left:106.8pt;margin-top:104.4pt;height:63.6pt;width:0.75pt;rotation:0f;z-index:251684864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3" o:spid="_x0000_s1035" style="position:absolute;left:0;margin-left:306.3pt;margin-top:365.5pt;height:34.5pt;width:119.25pt;rotation:0f;z-index:251668480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320" w:firstLineChars="100"/>
                  </w:pPr>
                  <w:r>
                    <w:rPr>
                      <w:rFonts w:hint="eastAsia" w:ascii="楷体" w:hAnsi="楷体" w:eastAsia="楷体" w:cs="楷体"/>
                      <w:sz w:val="32"/>
                      <w:szCs w:val="3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lang w:val="en-US" w:eastAsia="zh-CN"/>
                    </w:rPr>
                    <w:t>Ⅲ</w:t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8"/>
                      <w:szCs w:val="28"/>
                    </w:rPr>
                    <w:t>级响应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19" o:spid="_x0000_s1043" style="position:absolute;left:0;flip:x;margin-left:41.55pt;margin-top:343.25pt;height:22.2pt;width:5.3pt;rotation:0f;z-index:251676672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0" o:spid="_x0000_s1044" style="position:absolute;left:0;margin-left:205.8pt;margin-top:342.7pt;height:22.05pt;width:0.05pt;rotation:0f;z-index:251677696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2" o:spid="_x0000_s1034" style="position:absolute;left:0;margin-left:148.05pt;margin-top:364.75pt;height:35.3pt;width:115.5pt;rotation:0f;z-index:251667456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560" w:firstLineChars="20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u w:val="none"/>
                    </w:rPr>
                    <w:t>Ⅱ</w:t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8"/>
                      <w:szCs w:val="28"/>
                    </w:rPr>
                    <w:t>级响应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1" o:spid="_x0000_s1033" style="position:absolute;left:0;margin-left:-17.7pt;margin-top:366.25pt;height:36pt;width:100.5pt;rotation:0f;z-index:251666432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80" w:firstLineChars="10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</w:rPr>
                    <w:t>I</w:t>
                  </w:r>
                  <w:r>
                    <w:rPr>
                      <w:rFonts w:hint="eastAsia" w:ascii="楷体" w:hAnsi="楷体" w:eastAsia="楷体" w:cs="楷体"/>
                      <w:color w:val="000000"/>
                      <w:sz w:val="28"/>
                      <w:szCs w:val="28"/>
                    </w:rPr>
                    <w:t>级响应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流程图: 数据 9" o:spid="_x0000_s1031" type="#_x0000_t111" style="position:absolute;left:0;margin-left:111.4pt;margin-top:227.05pt;height:116.15pt;width:212.8pt;rotation:0f;z-index:251664384;" o:ole="f" fillcolor="#FFFFFF" filled="f" o:preferrelative="t" stroked="t" coordorigin="0,0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县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内3个以上7个以下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乡（镇）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出现粮食应急状态，或全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县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范围内粮食价格在一周内上涨50％以上100％以下，以及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县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挥部认为需要启动Ⅱ级响应的应急状态</w:t>
                  </w:r>
                </w:p>
                <w:p/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流程图: 数据 8" o:spid="_x0000_s1030" type="#_x0000_t111" style="position:absolute;left:0;margin-left:-55.9pt;margin-top:225.55pt;height:117.7pt;width:205.45pt;rotation:0f;z-index:251663360;" o:ole="f" fillcolor="#FFFFFF" filled="f" o:preferrelative="t" stroked="t" coordorigin="0,0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县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内7个以上的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乡（镇）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出现粮食应急状态，或全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县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范围内粮食价格在一周内上涨100％以上，以及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县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指挥部认为需要启动I级响应的应急状态</w:t>
                  </w:r>
                </w:p>
                <w:p/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流程图: 数据 10" o:spid="_x0000_s1032" type="#_x0000_t111" style="position:absolute;left:0;margin-left:291.3pt;margin-top:223.3pt;height:119.2pt;width:189pt;rotation:0f;z-index:251665408;" o:ole="f" fillcolor="#FFFFFF" filled="f" o:preferrelative="t" stroked="t" coordorigin="0,0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县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内1个以上3个以下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乡（镇）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出现粮食应急状态，或全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县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范围内粮食价格持续一周内上涨30％以上50％以下，以及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县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u w:val="none"/>
                    </w:rPr>
                    <w:t>指挥部认为需要启动Ⅲ级响应的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u w:val="none"/>
                    </w:rPr>
                    <w:t>应急状态</w:t>
                  </w:r>
                </w:p>
                <w:p/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5" o:spid="_x0000_s1029" style="position:absolute;left:0;margin-left:338.55pt;margin-top:106.75pt;height:77.25pt;width:108.75pt;rotation:0f;z-index:251662336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  <w:t>上报市粮食和</w:t>
                  </w:r>
                </w:p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  <w:t>物资储备局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28" o:spid="_x0000_s1052" type="#_x0000_t32" style="position:absolute;left:0;flip:x y;margin-left:77.55pt;margin-top:106pt;height:0.65pt;width:28.5pt;rotation:0f;z-index:251685888;" o:ole="f" fillcolor="#FFFFFF" filled="t" o:preferrelative="t" stroked="t" coordorigin="0,0" coordsize="21600,21600">
            <v:stroke weight="0.5pt" color="#000000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2" o:spid="_x0000_s1026" style="position:absolute;left:0;margin-left:133.8pt;margin-top:100.6pt;height:90pt;width:150pt;rotation:0f;z-index:251659264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  <w:t>信息报告（县粮食应急指挥部办公室对预警信息进行初步核实和评估后）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4" o:spid="_x0000_s1028" style="position:absolute;left:0;margin-left:-20.7pt;margin-top:139pt;height:54.7pt;width:99pt;rotation:0f;z-index:251661312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  <w:t>向成员单位</w:t>
                  </w:r>
                </w:p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  <w:t>通  报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3" o:spid="_x0000_s1027" style="position:absolute;left:0;margin-left:-19.95pt;margin-top:75.25pt;height:53.95pt;width:97.5pt;rotation:0f;z-index:251660288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lang w:val="en-US" w:eastAsia="zh-CN"/>
                    </w:rPr>
                    <w:t>上报县政府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29" o:spid="_x0000_s1053" type="#_x0000_t32" style="position:absolute;left:0;flip:x y;margin-left:78.3pt;margin-top:166.35pt;height:0.15pt;width:28.5pt;rotation:0f;z-index:251686912;" o:ole="f" fillcolor="#FFFFFF" filled="t" o:preferrelative="t" stroked="t" coordorigin="0,0" coordsize="21600,21600">
            <v:stroke weight="0.5pt" color="#000000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6" o:spid="_x0000_s1050" style="position:absolute;left:0;margin-left:106.8pt;margin-top:144.9pt;height:0.7pt;width:27pt;rotation:0f;z-index:251683840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25" o:spid="_x0000_s1049" type="#_x0000_t32" style="position:absolute;left:0;flip:y;margin-left:283.8pt;margin-top:145.4pt;height:0.2pt;width:54.75pt;rotation:0f;z-index:251682816;" o:ole="f" fillcolor="#FFFFFF" filled="t" o:preferrelative="t" stroked="t" coordorigin="0,0" coordsize="21600,21600">
            <v:stroke weight="0.5pt" color="#000000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6" o:spid="_x0000_s1038" style="position:absolute;left:0;margin-left:144.3pt;margin-top:569.95pt;height:51pt;width:121.5pt;rotation:0f;z-index:251671552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lang w:val="en-US" w:eastAsia="zh-CN"/>
                    </w:rPr>
                    <w:t>调查评估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5" o:spid="_x0000_s1037" style="position:absolute;left:0;margin-left:145.8pt;margin-top:506.95pt;height:45.75pt;width:120pt;rotation:0f;z-index:251670528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lang w:val="en-US" w:eastAsia="zh-CN"/>
                    </w:rPr>
                    <w:t>后期处置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4" o:spid="_x0000_s1048" style="position:absolute;left:0;flip:x;margin-left:205.05pt;margin-top:552.7pt;height:17.25pt;width:0.75pt;rotation:0f;z-index:251681792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3" o:spid="_x0000_s1047" style="position:absolute;left:0;margin-left:205.45pt;margin-top:483.7pt;height:23.25pt;width:0.35pt;rotation:0f;z-index:251680768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4" o:spid="_x0000_s1036" style="position:absolute;left:0;margin-left:145.05pt;margin-top:437.2pt;height:46.5pt;width:120.75pt;rotation:0f;z-index:251669504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lang w:val="en-US" w:eastAsia="zh-CN"/>
                    </w:rPr>
                    <w:t>应急结束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2" o:spid="_x0000_s1046" style="position:absolute;left:0;flip:x;margin-left:205.45pt;margin-top:400.05pt;height:37.15pt;width:0.35pt;rotation:0f;z-index:251679744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1" o:spid="_x0000_s1045" style="position:absolute;left:0;flip:x;margin-left:365.95pt;margin-top:342.5pt;height:23pt;width:0.95pt;rotation:0f;z-index:251678720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18" o:spid="_x0000_s1042" style="position:absolute;left:0;margin-left:285.65pt;margin-top:190.9pt;height:32.4pt;width:100.15pt;rotation:0f;z-index:251675648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17" o:spid="_x0000_s1041" style="position:absolute;left:0;flip:x;margin-left:67.35pt;margin-top:192.4pt;height:33.15pt;width:64.7pt;rotation:0f;z-index:251674624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7" o:spid="_x0000_s1040" style="position:absolute;left:0;margin-left:208.8pt;margin-top:190.6pt;height:33.3pt;width:0.05pt;rotation:0f;z-index:251673600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6" o:spid="_x0000_s1039" style="position:absolute;left:0;flip:x;margin-left:205.8pt;margin-top:54.55pt;height:46.65pt;width:0.75pt;rotation:0f;z-index:251672576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" o:spid="_x0000_s1025" style="position:absolute;left:0;margin-left:93.25pt;margin-top:8.8pt;height:45.75pt;width:226.6pt;rotation:0f;z-index:251658240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32"/>
                      <w:szCs w:val="32"/>
                      <w:lang w:val="en-US" w:eastAsia="zh-CN"/>
                    </w:rPr>
                    <w:t>粮食应急状态发生</w:t>
                  </w:r>
                </w:p>
              </w:txbxContent>
            </v:textbox>
          </v:rect>
        </w:pict>
      </w:r>
    </w:p>
    <w:sectPr>
      <w:pgSz w:w="11906" w:h="16838"/>
      <w:pgMar w:top="1701" w:right="1587" w:bottom="1474" w:left="1587" w:header="851" w:footer="992" w:gutter="0"/>
      <w:paperSrc w:first="0" w:other="0"/>
      <w:cols w:space="0" w:num="1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2021-01-22T10:18:00Z</dcterms:created>
  <dc:creator>青柠茶</dc:creator>
  <cp:lastPrinted>2021-01-29T16:38:00Z</cp:lastPrinted>
  <dcterms:modified xsi:type="dcterms:W3CDTF">2021-02-08T17:45:15Z</dcterms:modified>
  <dc:title>Mr.Zhang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